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90BD2" w14:textId="77777777" w:rsidR="008E11B9" w:rsidRDefault="008E11B9" w:rsidP="001A37BA">
      <w:pPr>
        <w:autoSpaceDE w:val="0"/>
        <w:autoSpaceDN w:val="0"/>
        <w:adjustRightInd w:val="0"/>
        <w:jc w:val="center"/>
        <w:rPr>
          <w:rFonts w:asciiTheme="minorHAnsi" w:hAnsiTheme="minorHAnsi" w:cs="Arial"/>
          <w:b/>
          <w:iCs/>
          <w:color w:val="000000"/>
          <w:sz w:val="20"/>
          <w:szCs w:val="20"/>
        </w:rPr>
      </w:pPr>
    </w:p>
    <w:p w14:paraId="7B049103" w14:textId="77777777" w:rsidR="007619F8" w:rsidRDefault="003A5488" w:rsidP="003A5488">
      <w:pPr>
        <w:pStyle w:val="Header"/>
        <w:rPr>
          <w:rFonts w:ascii="Verdana" w:hAnsi="Verdana"/>
          <w:b/>
          <w:color w:val="000000" w:themeColor="text1"/>
          <w:sz w:val="18"/>
          <w:szCs w:val="18"/>
        </w:rPr>
      </w:pPr>
      <w:r w:rsidRPr="00E37B43">
        <w:rPr>
          <w:rFonts w:ascii="Verdana" w:hAnsi="Verdana"/>
          <w:b/>
          <w:color w:val="000000" w:themeColor="text1"/>
          <w:sz w:val="18"/>
          <w:szCs w:val="18"/>
        </w:rPr>
        <w:t xml:space="preserve">If you are submitting a grant application with specific OCTRI resources, you </w:t>
      </w:r>
      <w:r w:rsidRPr="00E37B43">
        <w:rPr>
          <w:rFonts w:ascii="Verdana" w:hAnsi="Verdana"/>
          <w:b/>
          <w:color w:val="000000" w:themeColor="text1"/>
          <w:sz w:val="18"/>
          <w:szCs w:val="18"/>
          <w:u w:val="single"/>
        </w:rPr>
        <w:t>must</w:t>
      </w:r>
      <w:r w:rsidRPr="00E37B43">
        <w:rPr>
          <w:rFonts w:ascii="Verdana" w:hAnsi="Verdana"/>
          <w:b/>
          <w:color w:val="000000" w:themeColor="text1"/>
          <w:sz w:val="18"/>
          <w:szCs w:val="18"/>
        </w:rPr>
        <w:t xml:space="preserve"> request a cost estimate to include in the proposal budget. Without a cost estimate on </w:t>
      </w:r>
      <w:proofErr w:type="gramStart"/>
      <w:r w:rsidRPr="00E37B43">
        <w:rPr>
          <w:rFonts w:ascii="Verdana" w:hAnsi="Verdana"/>
          <w:b/>
          <w:color w:val="000000" w:themeColor="text1"/>
          <w:sz w:val="18"/>
          <w:szCs w:val="18"/>
        </w:rPr>
        <w:t>file</w:t>
      </w:r>
      <w:proofErr w:type="gramEnd"/>
      <w:r w:rsidRPr="00E37B43">
        <w:rPr>
          <w:rFonts w:ascii="Verdana" w:hAnsi="Verdana"/>
          <w:b/>
          <w:color w:val="000000" w:themeColor="text1"/>
          <w:sz w:val="18"/>
          <w:szCs w:val="18"/>
        </w:rPr>
        <w:t xml:space="preserve"> we cannot guarantee the resources you plan on using will be available or feasible for your project.</w:t>
      </w:r>
    </w:p>
    <w:p w14:paraId="13E0614A" w14:textId="77777777" w:rsidR="007619F8" w:rsidRDefault="007619F8" w:rsidP="003A5488">
      <w:pPr>
        <w:pStyle w:val="Header"/>
        <w:rPr>
          <w:rFonts w:ascii="Verdana" w:hAnsi="Verdana"/>
          <w:b/>
          <w:color w:val="000000" w:themeColor="text1"/>
          <w:sz w:val="18"/>
          <w:szCs w:val="18"/>
        </w:rPr>
      </w:pPr>
    </w:p>
    <w:p w14:paraId="15E31F16" w14:textId="57EB120E" w:rsidR="003A5488" w:rsidRPr="00E37B43" w:rsidRDefault="007619F8" w:rsidP="003A5488">
      <w:pPr>
        <w:pStyle w:val="Header"/>
        <w:rPr>
          <w:rFonts w:ascii="Verdana" w:hAnsi="Verdana"/>
          <w:b/>
          <w:color w:val="000000" w:themeColor="text1"/>
          <w:sz w:val="18"/>
          <w:szCs w:val="18"/>
        </w:rPr>
      </w:pPr>
      <w:r>
        <w:rPr>
          <w:rFonts w:ascii="Verdana" w:hAnsi="Verdana"/>
          <w:b/>
          <w:color w:val="000000" w:themeColor="text1"/>
          <w:sz w:val="18"/>
          <w:szCs w:val="18"/>
        </w:rPr>
        <w:t xml:space="preserve">For assistance in custom crafting information about OCTRI for our resources section please contact us at </w:t>
      </w:r>
      <w:hyperlink r:id="rId8" w:history="1">
        <w:r w:rsidRPr="00BE2CB3">
          <w:rPr>
            <w:rStyle w:val="Hyperlink"/>
            <w:rFonts w:ascii="Verdana" w:hAnsi="Verdana"/>
            <w:b/>
            <w:sz w:val="18"/>
            <w:szCs w:val="18"/>
          </w:rPr>
          <w:t>octri@ohsu.edu</w:t>
        </w:r>
      </w:hyperlink>
      <w:r>
        <w:rPr>
          <w:rFonts w:ascii="Verdana" w:hAnsi="Verdana"/>
          <w:b/>
          <w:color w:val="000000" w:themeColor="text1"/>
          <w:sz w:val="18"/>
          <w:szCs w:val="18"/>
        </w:rPr>
        <w:t xml:space="preserve"> – this content only includes limited services and information.</w:t>
      </w:r>
      <w:r w:rsidR="003A5488" w:rsidRPr="00E37B43">
        <w:rPr>
          <w:rFonts w:ascii="Verdana" w:hAnsi="Verdana"/>
          <w:b/>
          <w:color w:val="000000" w:themeColor="text1"/>
          <w:sz w:val="18"/>
          <w:szCs w:val="18"/>
        </w:rPr>
        <w:t xml:space="preserve"> </w:t>
      </w:r>
    </w:p>
    <w:p w14:paraId="452C51FA" w14:textId="77777777" w:rsidR="003A5488" w:rsidRPr="00E37B43" w:rsidRDefault="003A5488" w:rsidP="003A5488">
      <w:pPr>
        <w:pStyle w:val="Header"/>
        <w:rPr>
          <w:rFonts w:ascii="Verdana" w:hAnsi="Verdana"/>
          <w:b/>
          <w:color w:val="000000" w:themeColor="text1"/>
          <w:sz w:val="18"/>
          <w:szCs w:val="18"/>
        </w:rPr>
      </w:pPr>
    </w:p>
    <w:p w14:paraId="5051CC7F" w14:textId="77777777" w:rsidR="003A5488" w:rsidRPr="00054CFA" w:rsidRDefault="003A5488" w:rsidP="003A5488">
      <w:pPr>
        <w:pStyle w:val="Header"/>
        <w:rPr>
          <w:rFonts w:ascii="Verdana" w:hAnsi="Verdana"/>
          <w:b/>
          <w:color w:val="000000" w:themeColor="text1"/>
          <w:sz w:val="18"/>
          <w:szCs w:val="18"/>
        </w:rPr>
      </w:pPr>
      <w:r w:rsidRPr="00E37B43">
        <w:rPr>
          <w:rFonts w:ascii="Verdana" w:hAnsi="Verdana"/>
          <w:b/>
          <w:color w:val="000000" w:themeColor="text1"/>
          <w:sz w:val="18"/>
          <w:szCs w:val="18"/>
        </w:rPr>
        <w:t xml:space="preserve">Please visit </w:t>
      </w:r>
      <w:hyperlink r:id="rId9" w:history="1">
        <w:r w:rsidRPr="00E37B43">
          <w:rPr>
            <w:rStyle w:val="Hyperlink"/>
            <w:rFonts w:ascii="Verdana" w:hAnsi="Verdana"/>
            <w:b/>
            <w:sz w:val="18"/>
            <w:szCs w:val="18"/>
          </w:rPr>
          <w:t>http://bit.ly/2dHjMRf</w:t>
        </w:r>
      </w:hyperlink>
      <w:r w:rsidRPr="00E37B43">
        <w:rPr>
          <w:rFonts w:ascii="Verdana" w:hAnsi="Verdana"/>
          <w:b/>
          <w:color w:val="000000" w:themeColor="text1"/>
          <w:sz w:val="18"/>
          <w:szCs w:val="18"/>
        </w:rPr>
        <w:t xml:space="preserve"> to submit a request for a cost estimate and letter of support.</w:t>
      </w:r>
      <w:r w:rsidRPr="00054CFA">
        <w:rPr>
          <w:rFonts w:ascii="Verdana" w:hAnsi="Verdana"/>
          <w:b/>
          <w:color w:val="000000" w:themeColor="text1"/>
          <w:sz w:val="18"/>
          <w:szCs w:val="18"/>
        </w:rPr>
        <w:t xml:space="preserve"> </w:t>
      </w:r>
    </w:p>
    <w:p w14:paraId="579521EA" w14:textId="77777777" w:rsidR="003A5488" w:rsidRDefault="003A5488" w:rsidP="00F143C4">
      <w:pPr>
        <w:autoSpaceDE w:val="0"/>
        <w:autoSpaceDN w:val="0"/>
        <w:adjustRightInd w:val="0"/>
        <w:rPr>
          <w:rFonts w:asciiTheme="minorHAnsi" w:hAnsiTheme="minorHAnsi" w:cs="Arial"/>
          <w:b/>
          <w:iCs/>
          <w:color w:val="000000"/>
          <w:sz w:val="20"/>
          <w:szCs w:val="20"/>
        </w:rPr>
      </w:pPr>
    </w:p>
    <w:p w14:paraId="1AF62ACC" w14:textId="149E207A" w:rsidR="000A1A34" w:rsidRPr="00214227" w:rsidRDefault="000A1A34" w:rsidP="000A1A34">
      <w:pPr>
        <w:autoSpaceDE w:val="0"/>
        <w:autoSpaceDN w:val="0"/>
        <w:adjustRightInd w:val="0"/>
        <w:rPr>
          <w:rFonts w:asciiTheme="minorHAnsi" w:hAnsiTheme="minorHAnsi" w:cs="Arial"/>
          <w:b/>
          <w:iCs/>
          <w:color w:val="000000"/>
          <w:sz w:val="20"/>
          <w:szCs w:val="20"/>
        </w:rPr>
      </w:pPr>
      <w:r w:rsidRPr="00214227">
        <w:rPr>
          <w:rFonts w:asciiTheme="minorHAnsi" w:hAnsiTheme="minorHAnsi" w:cs="Arial"/>
          <w:b/>
          <w:iCs/>
          <w:color w:val="000000"/>
          <w:sz w:val="20"/>
          <w:szCs w:val="20"/>
        </w:rPr>
        <w:t xml:space="preserve">Oregon Clinical and Translational Research Institute (OCTRI) </w:t>
      </w:r>
      <w:r>
        <w:rPr>
          <w:rFonts w:asciiTheme="minorHAnsi" w:hAnsiTheme="minorHAnsi" w:cs="Arial"/>
          <w:b/>
          <w:iCs/>
          <w:color w:val="000000"/>
          <w:sz w:val="20"/>
          <w:szCs w:val="20"/>
        </w:rPr>
        <w:t>General Boilerplate:</w:t>
      </w:r>
    </w:p>
    <w:p w14:paraId="6EBF49FD" w14:textId="77777777" w:rsidR="000A1A34" w:rsidRDefault="000A1A34" w:rsidP="000A1A34">
      <w:pPr>
        <w:pStyle w:val="OHSUletterbody"/>
        <w:tabs>
          <w:tab w:val="left" w:pos="2640"/>
          <w:tab w:val="left" w:pos="2880"/>
        </w:tabs>
        <w:spacing w:after="0" w:line="240" w:lineRule="auto"/>
        <w:rPr>
          <w:rFonts w:asciiTheme="minorHAnsi" w:eastAsia="Calibri" w:hAnsiTheme="minorHAnsi" w:cstheme="minorHAnsi"/>
          <w:sz w:val="20"/>
          <w:szCs w:val="20"/>
        </w:rPr>
      </w:pPr>
    </w:p>
    <w:p w14:paraId="5F9DBAE1" w14:textId="6178B4DC" w:rsidR="000A1A34" w:rsidRDefault="000A1A34" w:rsidP="000A1A34">
      <w:pPr>
        <w:pStyle w:val="OHSUletterbody"/>
        <w:tabs>
          <w:tab w:val="left" w:pos="2640"/>
          <w:tab w:val="left" w:pos="2880"/>
        </w:tabs>
        <w:spacing w:after="0" w:line="240" w:lineRule="auto"/>
        <w:rPr>
          <w:rFonts w:asciiTheme="minorHAnsi" w:eastAsia="Calibri" w:hAnsiTheme="minorHAnsi" w:cstheme="minorHAnsi"/>
          <w:sz w:val="20"/>
          <w:szCs w:val="20"/>
        </w:rPr>
      </w:pPr>
      <w:r>
        <w:rPr>
          <w:rFonts w:asciiTheme="minorHAnsi" w:eastAsia="Calibri" w:hAnsiTheme="minorHAnsi" w:cstheme="minorHAnsi"/>
          <w:sz w:val="20"/>
          <w:szCs w:val="20"/>
        </w:rPr>
        <w:t xml:space="preserve">The </w:t>
      </w:r>
      <w:r w:rsidRPr="00695E3F">
        <w:rPr>
          <w:rFonts w:asciiTheme="minorHAnsi" w:eastAsia="Calibri" w:hAnsiTheme="minorHAnsi" w:cstheme="minorHAnsi"/>
          <w:sz w:val="20"/>
          <w:szCs w:val="20"/>
        </w:rPr>
        <w:t>O</w:t>
      </w:r>
      <w:r>
        <w:rPr>
          <w:rFonts w:asciiTheme="minorHAnsi" w:eastAsia="Calibri" w:hAnsiTheme="minorHAnsi" w:cstheme="minorHAnsi"/>
          <w:sz w:val="20"/>
          <w:szCs w:val="20"/>
        </w:rPr>
        <w:t xml:space="preserve">regon </w:t>
      </w:r>
      <w:r w:rsidRPr="00695E3F">
        <w:rPr>
          <w:rFonts w:asciiTheme="minorHAnsi" w:eastAsia="Calibri" w:hAnsiTheme="minorHAnsi" w:cstheme="minorHAnsi"/>
          <w:sz w:val="20"/>
          <w:szCs w:val="20"/>
        </w:rPr>
        <w:t>C</w:t>
      </w:r>
      <w:r>
        <w:rPr>
          <w:rFonts w:asciiTheme="minorHAnsi" w:eastAsia="Calibri" w:hAnsiTheme="minorHAnsi" w:cstheme="minorHAnsi"/>
          <w:sz w:val="20"/>
          <w:szCs w:val="20"/>
        </w:rPr>
        <w:t xml:space="preserve">linical and </w:t>
      </w:r>
      <w:r w:rsidRPr="00695E3F">
        <w:rPr>
          <w:rFonts w:asciiTheme="minorHAnsi" w:eastAsia="Calibri" w:hAnsiTheme="minorHAnsi" w:cstheme="minorHAnsi"/>
          <w:sz w:val="20"/>
          <w:szCs w:val="20"/>
        </w:rPr>
        <w:t>T</w:t>
      </w:r>
      <w:r>
        <w:rPr>
          <w:rFonts w:asciiTheme="minorHAnsi" w:eastAsia="Calibri" w:hAnsiTheme="minorHAnsi" w:cstheme="minorHAnsi"/>
          <w:sz w:val="20"/>
          <w:szCs w:val="20"/>
        </w:rPr>
        <w:t xml:space="preserve">ranslational </w:t>
      </w:r>
      <w:r w:rsidRPr="00695E3F">
        <w:rPr>
          <w:rFonts w:asciiTheme="minorHAnsi" w:eastAsia="Calibri" w:hAnsiTheme="minorHAnsi" w:cstheme="minorHAnsi"/>
          <w:sz w:val="20"/>
          <w:szCs w:val="20"/>
        </w:rPr>
        <w:t>R</w:t>
      </w:r>
      <w:r>
        <w:rPr>
          <w:rFonts w:asciiTheme="minorHAnsi" w:eastAsia="Calibri" w:hAnsiTheme="minorHAnsi" w:cstheme="minorHAnsi"/>
          <w:sz w:val="20"/>
          <w:szCs w:val="20"/>
        </w:rPr>
        <w:t xml:space="preserve">esearch </w:t>
      </w:r>
      <w:r w:rsidRPr="00695E3F">
        <w:rPr>
          <w:rFonts w:asciiTheme="minorHAnsi" w:eastAsia="Calibri" w:hAnsiTheme="minorHAnsi" w:cstheme="minorHAnsi"/>
          <w:sz w:val="20"/>
          <w:szCs w:val="20"/>
        </w:rPr>
        <w:t>I</w:t>
      </w:r>
      <w:r>
        <w:rPr>
          <w:rFonts w:asciiTheme="minorHAnsi" w:eastAsia="Calibri" w:hAnsiTheme="minorHAnsi" w:cstheme="minorHAnsi"/>
          <w:sz w:val="20"/>
          <w:szCs w:val="20"/>
        </w:rPr>
        <w:t>nstitute (OCTRI) is a well-established Clinical and Translational Science Award recipient, initially funded in 2006 through the NCATS CTSA program. As the regional leader in clinical and translational science, OCTRI provides critical support</w:t>
      </w:r>
      <w:r w:rsidRPr="00695E3F">
        <w:rPr>
          <w:rFonts w:asciiTheme="minorHAnsi" w:eastAsia="Calibri" w:hAnsiTheme="minorHAnsi" w:cstheme="minorHAnsi"/>
          <w:sz w:val="20"/>
          <w:szCs w:val="20"/>
        </w:rPr>
        <w:t xml:space="preserve"> </w:t>
      </w:r>
      <w:r>
        <w:rPr>
          <w:rFonts w:asciiTheme="minorHAnsi" w:eastAsia="Calibri" w:hAnsiTheme="minorHAnsi" w:cstheme="minorHAnsi"/>
          <w:sz w:val="20"/>
          <w:szCs w:val="20"/>
        </w:rPr>
        <w:t xml:space="preserve">for clinical and translational researchers </w:t>
      </w:r>
      <w:proofErr w:type="gramStart"/>
      <w:r>
        <w:rPr>
          <w:rFonts w:asciiTheme="minorHAnsi" w:eastAsia="Calibri" w:hAnsiTheme="minorHAnsi" w:cstheme="minorHAnsi"/>
          <w:sz w:val="20"/>
          <w:szCs w:val="20"/>
        </w:rPr>
        <w:t>including:</w:t>
      </w:r>
      <w:proofErr w:type="gramEnd"/>
      <w:r>
        <w:rPr>
          <w:rFonts w:asciiTheme="minorHAnsi" w:eastAsia="Calibri" w:hAnsiTheme="minorHAnsi" w:cstheme="minorHAnsi"/>
          <w:sz w:val="20"/>
          <w:szCs w:val="20"/>
        </w:rPr>
        <w:t xml:space="preserve"> </w:t>
      </w:r>
      <w:r w:rsidRPr="00695E3F">
        <w:rPr>
          <w:rFonts w:asciiTheme="minorHAnsi" w:eastAsia="Calibri" w:hAnsiTheme="minorHAnsi" w:cstheme="minorHAnsi"/>
          <w:sz w:val="20"/>
          <w:szCs w:val="20"/>
        </w:rPr>
        <w:t xml:space="preserve">infrastructure for conducting patient-based research, </w:t>
      </w:r>
      <w:r>
        <w:rPr>
          <w:rFonts w:asciiTheme="minorHAnsi" w:eastAsia="Calibri" w:hAnsiTheme="minorHAnsi" w:cstheme="minorHAnsi"/>
          <w:sz w:val="20"/>
          <w:szCs w:val="20"/>
        </w:rPr>
        <w:t xml:space="preserve">investigator </w:t>
      </w:r>
      <w:r w:rsidRPr="00695E3F">
        <w:rPr>
          <w:rFonts w:asciiTheme="minorHAnsi" w:eastAsia="Calibri" w:hAnsiTheme="minorHAnsi" w:cstheme="minorHAnsi"/>
          <w:sz w:val="20"/>
          <w:szCs w:val="20"/>
        </w:rPr>
        <w:t>funding for new research ideas, translational and clinical informatics</w:t>
      </w:r>
      <w:r>
        <w:rPr>
          <w:rFonts w:asciiTheme="minorHAnsi" w:eastAsia="Calibri" w:hAnsiTheme="minorHAnsi" w:cstheme="minorHAnsi"/>
          <w:sz w:val="20"/>
          <w:szCs w:val="20"/>
        </w:rPr>
        <w:t xml:space="preserve"> expertise</w:t>
      </w:r>
      <w:r w:rsidRPr="00695E3F">
        <w:rPr>
          <w:rFonts w:asciiTheme="minorHAnsi" w:eastAsia="Calibri" w:hAnsiTheme="minorHAnsi" w:cstheme="minorHAnsi"/>
          <w:sz w:val="20"/>
          <w:szCs w:val="20"/>
        </w:rPr>
        <w:t>, regulatory support</w:t>
      </w:r>
      <w:r>
        <w:rPr>
          <w:rFonts w:asciiTheme="minorHAnsi" w:eastAsia="Calibri" w:hAnsiTheme="minorHAnsi" w:cstheme="minorHAnsi"/>
          <w:sz w:val="20"/>
          <w:szCs w:val="20"/>
        </w:rPr>
        <w:t xml:space="preserve"> and guidance</w:t>
      </w:r>
      <w:r w:rsidRPr="00695E3F">
        <w:rPr>
          <w:rFonts w:asciiTheme="minorHAnsi" w:eastAsia="Calibri" w:hAnsiTheme="minorHAnsi" w:cstheme="minorHAnsi"/>
          <w:sz w:val="20"/>
          <w:szCs w:val="20"/>
        </w:rPr>
        <w:t xml:space="preserve">, and strong career development support for clinical and translational research training.  </w:t>
      </w:r>
      <w:r>
        <w:rPr>
          <w:rFonts w:asciiTheme="minorHAnsi" w:eastAsia="Calibri" w:hAnsiTheme="minorHAnsi" w:cstheme="minorHAnsi"/>
          <w:sz w:val="20"/>
          <w:szCs w:val="20"/>
        </w:rPr>
        <w:t>In addition, as part of the CTSA consortium, OCTRI provides significant infrastructure for clinical and translational research including support for multi-site clinical trials through the national Trial Innovation Network.</w:t>
      </w:r>
    </w:p>
    <w:p w14:paraId="2E676876" w14:textId="77777777" w:rsidR="000A1A34" w:rsidRDefault="000A1A34" w:rsidP="00F143C4">
      <w:pPr>
        <w:autoSpaceDE w:val="0"/>
        <w:autoSpaceDN w:val="0"/>
        <w:adjustRightInd w:val="0"/>
        <w:rPr>
          <w:rFonts w:asciiTheme="minorHAnsi" w:hAnsiTheme="minorHAnsi" w:cs="Arial"/>
          <w:b/>
          <w:iCs/>
          <w:color w:val="000000"/>
          <w:sz w:val="20"/>
          <w:szCs w:val="20"/>
        </w:rPr>
      </w:pPr>
    </w:p>
    <w:p w14:paraId="523742E4" w14:textId="10191C7D" w:rsidR="00E638BD" w:rsidRPr="00214227" w:rsidRDefault="00E638BD" w:rsidP="00F143C4">
      <w:pPr>
        <w:autoSpaceDE w:val="0"/>
        <w:autoSpaceDN w:val="0"/>
        <w:adjustRightInd w:val="0"/>
        <w:rPr>
          <w:rFonts w:asciiTheme="minorHAnsi" w:hAnsiTheme="minorHAnsi" w:cs="Arial"/>
          <w:b/>
          <w:iCs/>
          <w:color w:val="000000"/>
          <w:sz w:val="20"/>
          <w:szCs w:val="20"/>
        </w:rPr>
      </w:pPr>
      <w:r w:rsidRPr="00214227">
        <w:rPr>
          <w:rFonts w:asciiTheme="minorHAnsi" w:hAnsiTheme="minorHAnsi" w:cs="Arial"/>
          <w:b/>
          <w:iCs/>
          <w:color w:val="000000"/>
          <w:sz w:val="20"/>
          <w:szCs w:val="20"/>
        </w:rPr>
        <w:t>Oregon Clinical and Translational Research Institute (OCTRI)</w:t>
      </w:r>
      <w:r w:rsidR="001A37BA" w:rsidRPr="00214227">
        <w:rPr>
          <w:rFonts w:asciiTheme="minorHAnsi" w:hAnsiTheme="minorHAnsi" w:cs="Arial"/>
          <w:b/>
          <w:iCs/>
          <w:color w:val="000000"/>
          <w:sz w:val="20"/>
          <w:szCs w:val="20"/>
        </w:rPr>
        <w:t xml:space="preserve"> </w:t>
      </w:r>
      <w:r w:rsidR="00F143C4">
        <w:rPr>
          <w:rFonts w:asciiTheme="minorHAnsi" w:hAnsiTheme="minorHAnsi" w:cs="Arial"/>
          <w:b/>
          <w:iCs/>
          <w:color w:val="000000"/>
          <w:sz w:val="20"/>
          <w:szCs w:val="20"/>
        </w:rPr>
        <w:t>Facilities</w:t>
      </w:r>
      <w:r w:rsidR="000A1A34">
        <w:rPr>
          <w:rFonts w:asciiTheme="minorHAnsi" w:hAnsiTheme="minorHAnsi" w:cs="Arial"/>
          <w:b/>
          <w:iCs/>
          <w:color w:val="000000"/>
          <w:sz w:val="20"/>
          <w:szCs w:val="20"/>
        </w:rPr>
        <w:t>,</w:t>
      </w:r>
      <w:r w:rsidR="0029155A">
        <w:rPr>
          <w:rFonts w:asciiTheme="minorHAnsi" w:hAnsiTheme="minorHAnsi" w:cs="Arial"/>
          <w:b/>
          <w:iCs/>
          <w:color w:val="000000"/>
          <w:sz w:val="20"/>
          <w:szCs w:val="20"/>
        </w:rPr>
        <w:t xml:space="preserve"> </w:t>
      </w:r>
      <w:r w:rsidR="00A31B39">
        <w:rPr>
          <w:rFonts w:asciiTheme="minorHAnsi" w:hAnsiTheme="minorHAnsi" w:cs="Arial"/>
          <w:b/>
          <w:iCs/>
          <w:color w:val="000000"/>
          <w:sz w:val="20"/>
          <w:szCs w:val="20"/>
        </w:rPr>
        <w:t>Equipment</w:t>
      </w:r>
      <w:r w:rsidR="000A1A34">
        <w:rPr>
          <w:rFonts w:asciiTheme="minorHAnsi" w:hAnsiTheme="minorHAnsi" w:cs="Arial"/>
          <w:b/>
          <w:iCs/>
          <w:color w:val="000000"/>
          <w:sz w:val="20"/>
          <w:szCs w:val="20"/>
        </w:rPr>
        <w:t xml:space="preserve"> and Resources:</w:t>
      </w:r>
    </w:p>
    <w:p w14:paraId="37884CEF" w14:textId="77777777" w:rsidR="007619F8" w:rsidRDefault="007619F8" w:rsidP="007619F8">
      <w:pPr>
        <w:autoSpaceDE w:val="0"/>
        <w:autoSpaceDN w:val="0"/>
        <w:rPr>
          <w:rFonts w:asciiTheme="minorHAnsi" w:eastAsia="Calibri" w:hAnsiTheme="minorHAnsi"/>
          <w:b/>
          <w:sz w:val="20"/>
          <w:szCs w:val="20"/>
          <w:u w:val="single"/>
        </w:rPr>
      </w:pPr>
    </w:p>
    <w:p w14:paraId="446999A1" w14:textId="716E8244" w:rsidR="007619F8" w:rsidRPr="00F07C2E" w:rsidRDefault="007619F8" w:rsidP="007619F8">
      <w:pPr>
        <w:autoSpaceDE w:val="0"/>
        <w:autoSpaceDN w:val="0"/>
        <w:rPr>
          <w:rFonts w:asciiTheme="minorHAnsi" w:eastAsia="Calibri" w:hAnsiTheme="minorHAnsi"/>
          <w:b/>
          <w:sz w:val="20"/>
          <w:szCs w:val="20"/>
          <w:u w:val="single"/>
        </w:rPr>
      </w:pPr>
      <w:r w:rsidRPr="00F07C2E">
        <w:rPr>
          <w:rFonts w:asciiTheme="minorHAnsi" w:eastAsia="Calibri" w:hAnsiTheme="minorHAnsi"/>
          <w:b/>
          <w:sz w:val="20"/>
          <w:szCs w:val="20"/>
          <w:u w:val="single"/>
        </w:rPr>
        <w:t>OCTRI C</w:t>
      </w:r>
      <w:r>
        <w:rPr>
          <w:rFonts w:asciiTheme="minorHAnsi" w:eastAsia="Calibri" w:hAnsiTheme="minorHAnsi"/>
          <w:b/>
          <w:sz w:val="20"/>
          <w:szCs w:val="20"/>
          <w:u w:val="single"/>
        </w:rPr>
        <w:t>linical and Translational Research Center (CTRC)</w:t>
      </w:r>
      <w:r w:rsidRPr="00F07C2E">
        <w:rPr>
          <w:rFonts w:asciiTheme="minorHAnsi" w:eastAsia="Calibri" w:hAnsiTheme="minorHAnsi"/>
          <w:b/>
          <w:sz w:val="20"/>
          <w:szCs w:val="20"/>
          <w:u w:val="single"/>
        </w:rPr>
        <w:t xml:space="preserve">: </w:t>
      </w:r>
    </w:p>
    <w:p w14:paraId="223789B6" w14:textId="01B49E6D" w:rsidR="007619F8" w:rsidRDefault="007619F8" w:rsidP="007619F8">
      <w:pPr>
        <w:autoSpaceDE w:val="0"/>
        <w:autoSpaceDN w:val="0"/>
        <w:rPr>
          <w:rFonts w:asciiTheme="minorHAnsi" w:eastAsia="Calibri" w:hAnsiTheme="minorHAnsi"/>
          <w:sz w:val="20"/>
          <w:szCs w:val="20"/>
        </w:rPr>
      </w:pPr>
      <w:r w:rsidRPr="00D013F9">
        <w:rPr>
          <w:rFonts w:asciiTheme="minorHAnsi" w:eastAsia="Calibri" w:hAnsiTheme="minorHAnsi"/>
          <w:sz w:val="20"/>
          <w:szCs w:val="20"/>
        </w:rPr>
        <w:t xml:space="preserve">The OCTRI Clinical and Translational Research Center (CTRC) is a dedicated research </w:t>
      </w:r>
      <w:r>
        <w:rPr>
          <w:rFonts w:asciiTheme="minorHAnsi" w:eastAsia="Calibri" w:hAnsiTheme="minorHAnsi"/>
          <w:sz w:val="20"/>
          <w:szCs w:val="20"/>
        </w:rPr>
        <w:t>facility</w:t>
      </w:r>
      <w:r w:rsidRPr="00D013F9">
        <w:rPr>
          <w:rFonts w:asciiTheme="minorHAnsi" w:eastAsia="Calibri" w:hAnsiTheme="minorHAnsi"/>
          <w:sz w:val="20"/>
          <w:szCs w:val="20"/>
        </w:rPr>
        <w:t xml:space="preserve"> for clinical studies at </w:t>
      </w:r>
      <w:proofErr w:type="gramStart"/>
      <w:r w:rsidRPr="00D013F9">
        <w:rPr>
          <w:rFonts w:asciiTheme="minorHAnsi" w:eastAsia="Calibri" w:hAnsiTheme="minorHAnsi"/>
          <w:sz w:val="20"/>
          <w:szCs w:val="20"/>
        </w:rPr>
        <w:t>OHSU, and</w:t>
      </w:r>
      <w:proofErr w:type="gramEnd"/>
      <w:r w:rsidRPr="00D013F9">
        <w:rPr>
          <w:rFonts w:asciiTheme="minorHAnsi" w:eastAsia="Calibri" w:hAnsiTheme="minorHAnsi"/>
          <w:sz w:val="20"/>
          <w:szCs w:val="20"/>
        </w:rPr>
        <w:t xml:space="preserve"> is equipped and flexibly staffed to support a broad range of protocols. CTRC facilities include an eight</w:t>
      </w:r>
      <w:r w:rsidR="008B2CA9">
        <w:rPr>
          <w:rFonts w:asciiTheme="minorHAnsi" w:eastAsia="Calibri" w:hAnsiTheme="minorHAnsi"/>
          <w:sz w:val="20"/>
          <w:szCs w:val="20"/>
        </w:rPr>
        <w:t>-</w:t>
      </w:r>
      <w:r w:rsidRPr="00D013F9">
        <w:rPr>
          <w:rFonts w:asciiTheme="minorHAnsi" w:eastAsia="Calibri" w:hAnsiTheme="minorHAnsi"/>
          <w:sz w:val="20"/>
          <w:szCs w:val="20"/>
        </w:rPr>
        <w:t>bed unit in the Hatfield Research Center, immediately adjacent to the main OHSU hospital</w:t>
      </w:r>
      <w:r>
        <w:rPr>
          <w:rFonts w:asciiTheme="minorHAnsi" w:eastAsia="Calibri" w:hAnsiTheme="minorHAnsi"/>
          <w:sz w:val="20"/>
          <w:szCs w:val="20"/>
        </w:rPr>
        <w:t>. There is an</w:t>
      </w:r>
      <w:r w:rsidRPr="00D013F9">
        <w:rPr>
          <w:rFonts w:asciiTheme="minorHAnsi" w:eastAsia="Calibri" w:hAnsiTheme="minorHAnsi"/>
          <w:sz w:val="20"/>
          <w:szCs w:val="20"/>
        </w:rPr>
        <w:t xml:space="preserve"> outpatient unit with an infusion area, exam rooms, procedure rooms and phlebotomy space.  </w:t>
      </w:r>
      <w:proofErr w:type="gramStart"/>
      <w:r w:rsidRPr="00D013F9">
        <w:rPr>
          <w:rFonts w:asciiTheme="minorHAnsi" w:eastAsia="Calibri" w:hAnsiTheme="minorHAnsi"/>
          <w:sz w:val="20"/>
          <w:szCs w:val="20"/>
        </w:rPr>
        <w:t>All of</w:t>
      </w:r>
      <w:proofErr w:type="gramEnd"/>
      <w:r w:rsidRPr="00D013F9">
        <w:rPr>
          <w:rFonts w:asciiTheme="minorHAnsi" w:eastAsia="Calibri" w:hAnsiTheme="minorHAnsi"/>
          <w:sz w:val="20"/>
          <w:szCs w:val="20"/>
        </w:rPr>
        <w:t xml:space="preserve"> the inpatient rooms are equipped with continuous EEG monitoring, </w:t>
      </w:r>
      <w:r>
        <w:rPr>
          <w:rFonts w:asciiTheme="minorHAnsi" w:eastAsia="Calibri" w:hAnsiTheme="minorHAnsi"/>
          <w:sz w:val="20"/>
          <w:szCs w:val="20"/>
        </w:rPr>
        <w:t xml:space="preserve">three of which </w:t>
      </w:r>
      <w:r w:rsidRPr="00D013F9">
        <w:rPr>
          <w:rFonts w:asciiTheme="minorHAnsi" w:eastAsia="Calibri" w:hAnsiTheme="minorHAnsi"/>
          <w:sz w:val="20"/>
          <w:szCs w:val="20"/>
        </w:rPr>
        <w:t xml:space="preserve">are equipped with advanced sleep monitoring capability, including light and temperature control and the ability to obtain blood samples remotely through pass-through windows.  The CTRC is staffed </w:t>
      </w:r>
      <w:r>
        <w:rPr>
          <w:rFonts w:asciiTheme="minorHAnsi" w:eastAsia="Calibri" w:hAnsiTheme="minorHAnsi"/>
          <w:sz w:val="20"/>
          <w:szCs w:val="20"/>
        </w:rPr>
        <w:t xml:space="preserve">with </w:t>
      </w:r>
      <w:r w:rsidRPr="00D013F9">
        <w:rPr>
          <w:rFonts w:asciiTheme="minorHAnsi" w:eastAsia="Calibri" w:hAnsiTheme="minorHAnsi"/>
          <w:sz w:val="20"/>
          <w:szCs w:val="20"/>
        </w:rPr>
        <w:t>RNs for inpatient and extended</w:t>
      </w:r>
      <w:r>
        <w:rPr>
          <w:rFonts w:asciiTheme="minorHAnsi" w:eastAsia="Calibri" w:hAnsiTheme="minorHAnsi"/>
          <w:sz w:val="20"/>
          <w:szCs w:val="20"/>
        </w:rPr>
        <w:t xml:space="preserve"> study visits,</w:t>
      </w:r>
      <w:r w:rsidRPr="00D013F9">
        <w:rPr>
          <w:rFonts w:asciiTheme="minorHAnsi" w:eastAsia="Calibri" w:hAnsiTheme="minorHAnsi"/>
          <w:sz w:val="20"/>
          <w:szCs w:val="20"/>
        </w:rPr>
        <w:t xml:space="preserve"> or intensive outpatient studies, a</w:t>
      </w:r>
      <w:r>
        <w:rPr>
          <w:rFonts w:asciiTheme="minorHAnsi" w:eastAsia="Calibri" w:hAnsiTheme="minorHAnsi"/>
          <w:sz w:val="20"/>
          <w:szCs w:val="20"/>
        </w:rPr>
        <w:t>s well as</w:t>
      </w:r>
      <w:r w:rsidRPr="00D013F9">
        <w:rPr>
          <w:rFonts w:asciiTheme="minorHAnsi" w:eastAsia="Calibri" w:hAnsiTheme="minorHAnsi"/>
          <w:sz w:val="20"/>
          <w:szCs w:val="20"/>
        </w:rPr>
        <w:t xml:space="preserve"> with RAs</w:t>
      </w:r>
      <w:r>
        <w:rPr>
          <w:rFonts w:asciiTheme="minorHAnsi" w:eastAsia="Calibri" w:hAnsiTheme="minorHAnsi"/>
          <w:sz w:val="20"/>
          <w:szCs w:val="20"/>
        </w:rPr>
        <w:t xml:space="preserve"> to facilitate study visits in our outpatient clinic</w:t>
      </w:r>
      <w:r w:rsidRPr="00D013F9">
        <w:rPr>
          <w:rFonts w:asciiTheme="minorHAnsi" w:eastAsia="Calibri" w:hAnsiTheme="minorHAnsi"/>
          <w:sz w:val="20"/>
          <w:szCs w:val="20"/>
        </w:rPr>
        <w:t xml:space="preserve">.  CTRC nursing equipment includes electrocardiographs, syringe infusion pumps, Alaris multichannel infusion pumps, </w:t>
      </w:r>
      <w:proofErr w:type="spellStart"/>
      <w:r w:rsidRPr="00D013F9">
        <w:rPr>
          <w:rFonts w:asciiTheme="minorHAnsi" w:eastAsia="Calibri" w:hAnsiTheme="minorHAnsi"/>
          <w:sz w:val="20"/>
          <w:szCs w:val="20"/>
        </w:rPr>
        <w:t>Propaq</w:t>
      </w:r>
      <w:proofErr w:type="spellEnd"/>
      <w:r w:rsidRPr="00D013F9">
        <w:rPr>
          <w:rFonts w:asciiTheme="minorHAnsi" w:eastAsia="Calibri" w:hAnsiTheme="minorHAnsi"/>
          <w:sz w:val="20"/>
          <w:szCs w:val="20"/>
        </w:rPr>
        <w:t xml:space="preserve"> monitors, metabolic scales, otoscopes, ophthalmoscopes, portable suction and code carts. </w:t>
      </w:r>
    </w:p>
    <w:p w14:paraId="47AAC4E3" w14:textId="77777777" w:rsidR="007619F8" w:rsidRDefault="007619F8" w:rsidP="007619F8">
      <w:pPr>
        <w:autoSpaceDE w:val="0"/>
        <w:autoSpaceDN w:val="0"/>
        <w:rPr>
          <w:rFonts w:asciiTheme="minorHAnsi" w:eastAsia="Calibri" w:hAnsiTheme="minorHAnsi"/>
          <w:sz w:val="20"/>
          <w:szCs w:val="20"/>
        </w:rPr>
      </w:pPr>
    </w:p>
    <w:p w14:paraId="7D501406" w14:textId="77777777" w:rsidR="007619F8" w:rsidRPr="00AE2947" w:rsidRDefault="007619F8" w:rsidP="007619F8">
      <w:pPr>
        <w:autoSpaceDE w:val="0"/>
        <w:autoSpaceDN w:val="0"/>
        <w:rPr>
          <w:rFonts w:asciiTheme="minorHAnsi" w:eastAsia="Calibri" w:hAnsiTheme="minorHAnsi"/>
          <w:sz w:val="20"/>
          <w:szCs w:val="20"/>
        </w:rPr>
      </w:pPr>
      <w:proofErr w:type="gramStart"/>
      <w:r w:rsidRPr="00AE2947">
        <w:rPr>
          <w:rFonts w:asciiTheme="minorHAnsi" w:eastAsia="Calibri" w:hAnsiTheme="minorHAnsi"/>
          <w:sz w:val="20"/>
          <w:szCs w:val="20"/>
        </w:rPr>
        <w:t>The CTRC</w:t>
      </w:r>
      <w:proofErr w:type="gramEnd"/>
      <w:r w:rsidRPr="00AE2947">
        <w:rPr>
          <w:rFonts w:asciiTheme="minorHAnsi" w:eastAsia="Calibri" w:hAnsiTheme="minorHAnsi"/>
          <w:sz w:val="20"/>
          <w:szCs w:val="20"/>
        </w:rPr>
        <w:t xml:space="preserve"> also houses a core laboratory adjacent to the clinical unit, which provides laboratory support to studies by performing a wide variety of </w:t>
      </w:r>
      <w:proofErr w:type="gramStart"/>
      <w:r w:rsidRPr="00AE2947">
        <w:rPr>
          <w:rFonts w:asciiTheme="minorHAnsi" w:eastAsia="Calibri" w:hAnsiTheme="minorHAnsi"/>
          <w:sz w:val="20"/>
          <w:szCs w:val="20"/>
        </w:rPr>
        <w:t>assays</w:t>
      </w:r>
      <w:proofErr w:type="gramEnd"/>
      <w:r w:rsidRPr="00AE2947">
        <w:rPr>
          <w:rFonts w:asciiTheme="minorHAnsi" w:eastAsia="Calibri" w:hAnsiTheme="minorHAnsi"/>
          <w:sz w:val="20"/>
          <w:szCs w:val="20"/>
        </w:rPr>
        <w:t xml:space="preserve"> and procedures.  The laboratory is equipped to process, store and ship samples. Available lab equipment includes: Siemens IMMULITE 1000 </w:t>
      </w:r>
      <w:proofErr w:type="spellStart"/>
      <w:r w:rsidRPr="00AE2947">
        <w:rPr>
          <w:rFonts w:asciiTheme="minorHAnsi" w:eastAsia="Calibri" w:hAnsiTheme="minorHAnsi"/>
          <w:sz w:val="20"/>
          <w:szCs w:val="20"/>
        </w:rPr>
        <w:t>chemiluminscence</w:t>
      </w:r>
      <w:proofErr w:type="spellEnd"/>
      <w:r w:rsidRPr="00AE2947">
        <w:rPr>
          <w:rFonts w:asciiTheme="minorHAnsi" w:eastAsia="Calibri" w:hAnsiTheme="minorHAnsi"/>
          <w:sz w:val="20"/>
          <w:szCs w:val="20"/>
        </w:rPr>
        <w:t xml:space="preserve">-based analyzer, Synergy HTX multimode ELISA plate reader, gamma counter, walk-in freezer and refrigerator, low temperature -80 freezers (10), Beckman DU 530 spectrophotometer, fluorimeter, Hewlett Packard HPLC systems with autosamplers, HPLC fluorescence detector, HPLC Diode array detector, liquid nitrogen storage facilities (6 dewars), CO2 tissue culture cabinets (2), biosafety hood, fume hoods (2) and centrifuges (7).  Additionally, there is low temperature (-80C and liquid nitrogen), long term biological sample storage available. Molecular biology related equipment in the lab includes Applied Biosystems ABI Prism 3130XL genetic Analyzer and Sequencer, ABI Prism </w:t>
      </w:r>
      <w:proofErr w:type="spellStart"/>
      <w:r w:rsidRPr="00AE2947">
        <w:rPr>
          <w:rFonts w:asciiTheme="minorHAnsi" w:eastAsia="Calibri" w:hAnsiTheme="minorHAnsi"/>
          <w:sz w:val="20"/>
          <w:szCs w:val="20"/>
        </w:rPr>
        <w:t>Genescan</w:t>
      </w:r>
      <w:proofErr w:type="spellEnd"/>
      <w:r w:rsidRPr="00AE2947">
        <w:rPr>
          <w:rFonts w:asciiTheme="minorHAnsi" w:eastAsia="Calibri" w:hAnsiTheme="minorHAnsi"/>
          <w:sz w:val="20"/>
          <w:szCs w:val="20"/>
        </w:rPr>
        <w:t xml:space="preserve"> and DNA sequencing analysis software, MJ Research Tetrad 4 block PCR machine, Applied Biosystems 9700 and 9800 PCR thermocyclers, Gel-Doc Imaging system, </w:t>
      </w:r>
      <w:proofErr w:type="spellStart"/>
      <w:r w:rsidRPr="00AE2947">
        <w:rPr>
          <w:rFonts w:asciiTheme="minorHAnsi" w:eastAsia="Calibri" w:hAnsiTheme="minorHAnsi"/>
          <w:sz w:val="20"/>
          <w:szCs w:val="20"/>
        </w:rPr>
        <w:t>DNAstar</w:t>
      </w:r>
      <w:proofErr w:type="spellEnd"/>
      <w:r w:rsidRPr="00AE2947">
        <w:rPr>
          <w:rFonts w:asciiTheme="minorHAnsi" w:eastAsia="Calibri" w:hAnsiTheme="minorHAnsi"/>
          <w:sz w:val="20"/>
          <w:szCs w:val="20"/>
        </w:rPr>
        <w:t xml:space="preserve"> sequence alignment software and electrophoresis system(s). </w:t>
      </w:r>
    </w:p>
    <w:p w14:paraId="041D290A" w14:textId="77777777" w:rsidR="007619F8" w:rsidRDefault="007619F8" w:rsidP="007619F8">
      <w:pPr>
        <w:autoSpaceDE w:val="0"/>
        <w:autoSpaceDN w:val="0"/>
        <w:rPr>
          <w:rFonts w:asciiTheme="minorHAnsi" w:eastAsia="Calibri" w:hAnsiTheme="minorHAnsi"/>
          <w:sz w:val="20"/>
          <w:szCs w:val="20"/>
        </w:rPr>
      </w:pPr>
    </w:p>
    <w:p w14:paraId="6DBC05AC" w14:textId="77777777" w:rsidR="007619F8" w:rsidRDefault="007619F8" w:rsidP="007619F8">
      <w:pPr>
        <w:autoSpaceDE w:val="0"/>
        <w:autoSpaceDN w:val="0"/>
        <w:rPr>
          <w:rFonts w:asciiTheme="minorHAnsi" w:eastAsia="Calibri" w:hAnsiTheme="minorHAnsi"/>
          <w:sz w:val="20"/>
          <w:szCs w:val="20"/>
        </w:rPr>
      </w:pPr>
      <w:r w:rsidRPr="00D013F9">
        <w:rPr>
          <w:rFonts w:asciiTheme="minorHAnsi" w:eastAsia="Calibri" w:hAnsiTheme="minorHAnsi"/>
          <w:sz w:val="20"/>
          <w:szCs w:val="20"/>
        </w:rPr>
        <w:t xml:space="preserve">The CTRC </w:t>
      </w:r>
      <w:proofErr w:type="spellStart"/>
      <w:r w:rsidRPr="00D013F9">
        <w:rPr>
          <w:rFonts w:asciiTheme="minorHAnsi" w:eastAsia="Calibri" w:hAnsiTheme="minorHAnsi"/>
          <w:sz w:val="20"/>
          <w:szCs w:val="20"/>
        </w:rPr>
        <w:t>bionutrition</w:t>
      </w:r>
      <w:proofErr w:type="spellEnd"/>
      <w:r w:rsidRPr="00D013F9">
        <w:rPr>
          <w:rFonts w:asciiTheme="minorHAnsi" w:eastAsia="Calibri" w:hAnsiTheme="minorHAnsi"/>
          <w:sz w:val="20"/>
          <w:szCs w:val="20"/>
        </w:rPr>
        <w:t xml:space="preserve"> unit is located near the CTRC clinical facilities, and includes a research kitchen for the design, testing, and provision of research meals</w:t>
      </w:r>
      <w:r>
        <w:rPr>
          <w:rFonts w:asciiTheme="minorHAnsi" w:eastAsia="Calibri" w:hAnsiTheme="minorHAnsi"/>
          <w:sz w:val="20"/>
          <w:szCs w:val="20"/>
        </w:rPr>
        <w:t>. These</w:t>
      </w:r>
      <w:r w:rsidRPr="00D013F9">
        <w:rPr>
          <w:rFonts w:asciiTheme="minorHAnsi" w:eastAsia="Calibri" w:hAnsiTheme="minorHAnsi"/>
          <w:sz w:val="20"/>
          <w:szCs w:val="20"/>
        </w:rPr>
        <w:t xml:space="preserve"> facilities </w:t>
      </w:r>
      <w:r>
        <w:rPr>
          <w:rFonts w:asciiTheme="minorHAnsi" w:eastAsia="Calibri" w:hAnsiTheme="minorHAnsi"/>
          <w:sz w:val="20"/>
          <w:szCs w:val="20"/>
        </w:rPr>
        <w:t xml:space="preserve">house </w:t>
      </w:r>
      <w:r w:rsidRPr="00D013F9">
        <w:rPr>
          <w:rFonts w:asciiTheme="minorHAnsi" w:eastAsia="Calibri" w:hAnsiTheme="minorHAnsi"/>
          <w:sz w:val="20"/>
          <w:szCs w:val="20"/>
        </w:rPr>
        <w:t xml:space="preserve">equipment for measurement of body composition by DEXA, </w:t>
      </w:r>
      <w:proofErr w:type="spellStart"/>
      <w:r w:rsidRPr="00D013F9">
        <w:rPr>
          <w:rFonts w:asciiTheme="minorHAnsi" w:eastAsia="Calibri" w:hAnsiTheme="minorHAnsi"/>
          <w:sz w:val="20"/>
          <w:szCs w:val="20"/>
        </w:rPr>
        <w:t>BodPod</w:t>
      </w:r>
      <w:proofErr w:type="spellEnd"/>
      <w:r w:rsidRPr="00D013F9">
        <w:rPr>
          <w:rFonts w:asciiTheme="minorHAnsi" w:eastAsia="Calibri" w:hAnsiTheme="minorHAnsi"/>
          <w:sz w:val="20"/>
          <w:szCs w:val="20"/>
        </w:rPr>
        <w:t>, and bioimpedance analysis, and energy expenditure by indirect calorimetry. </w:t>
      </w:r>
    </w:p>
    <w:p w14:paraId="61329BA8" w14:textId="77777777" w:rsidR="007619F8" w:rsidRDefault="007619F8" w:rsidP="007619F8">
      <w:pPr>
        <w:autoSpaceDE w:val="0"/>
        <w:autoSpaceDN w:val="0"/>
        <w:rPr>
          <w:rFonts w:asciiTheme="minorHAnsi" w:eastAsia="Calibri" w:hAnsiTheme="minorHAnsi"/>
          <w:sz w:val="20"/>
          <w:szCs w:val="20"/>
        </w:rPr>
      </w:pPr>
    </w:p>
    <w:p w14:paraId="6D8A65C1" w14:textId="77777777" w:rsidR="007619F8" w:rsidRDefault="007619F8" w:rsidP="007619F8">
      <w:pPr>
        <w:autoSpaceDE w:val="0"/>
        <w:autoSpaceDN w:val="0"/>
        <w:rPr>
          <w:sz w:val="20"/>
          <w:szCs w:val="20"/>
        </w:rPr>
      </w:pPr>
      <w:r w:rsidRPr="00D013F9">
        <w:rPr>
          <w:rFonts w:asciiTheme="minorHAnsi" w:eastAsia="Calibri" w:hAnsiTheme="minorHAnsi"/>
          <w:sz w:val="20"/>
          <w:szCs w:val="20"/>
        </w:rPr>
        <w:t>The CTRC study coordinator unit provides intensive support for study conduct on the CTRC, across the OHSU campus</w:t>
      </w:r>
      <w:r>
        <w:rPr>
          <w:rFonts w:asciiTheme="minorHAnsi" w:eastAsia="Calibri" w:hAnsiTheme="minorHAnsi"/>
          <w:sz w:val="20"/>
          <w:szCs w:val="20"/>
        </w:rPr>
        <w:t xml:space="preserve"> </w:t>
      </w:r>
      <w:r w:rsidRPr="00D013F9">
        <w:rPr>
          <w:rFonts w:asciiTheme="minorHAnsi" w:eastAsia="Calibri" w:hAnsiTheme="minorHAnsi"/>
          <w:sz w:val="20"/>
          <w:szCs w:val="20"/>
        </w:rPr>
        <w:t xml:space="preserve">and in the community.  </w:t>
      </w:r>
      <w:r>
        <w:rPr>
          <w:rFonts w:asciiTheme="minorHAnsi" w:eastAsia="Calibri" w:hAnsiTheme="minorHAnsi"/>
          <w:sz w:val="20"/>
          <w:szCs w:val="20"/>
        </w:rPr>
        <w:t xml:space="preserve">The staff can be hired to enter data, recruit participants, manage regulatory </w:t>
      </w:r>
      <w:r>
        <w:rPr>
          <w:rFonts w:asciiTheme="minorHAnsi" w:eastAsia="Calibri" w:hAnsiTheme="minorHAnsi"/>
          <w:sz w:val="20"/>
          <w:szCs w:val="20"/>
        </w:rPr>
        <w:lastRenderedPageBreak/>
        <w:t xml:space="preserve">records, maintain study documents and facilitate study visits. </w:t>
      </w:r>
      <w:r w:rsidRPr="00D013F9">
        <w:rPr>
          <w:rFonts w:asciiTheme="minorHAnsi" w:eastAsia="Calibri" w:hAnsiTheme="minorHAnsi"/>
          <w:sz w:val="20"/>
          <w:szCs w:val="20"/>
        </w:rPr>
        <w:t>The CTRC Research Volunteer Registry</w:t>
      </w:r>
      <w:r>
        <w:rPr>
          <w:rFonts w:asciiTheme="minorHAnsi" w:eastAsia="Calibri" w:hAnsiTheme="minorHAnsi"/>
          <w:sz w:val="20"/>
          <w:szCs w:val="20"/>
        </w:rPr>
        <w:t xml:space="preserve"> is a repository that</w:t>
      </w:r>
      <w:r w:rsidRPr="00D013F9">
        <w:rPr>
          <w:rFonts w:asciiTheme="minorHAnsi" w:eastAsia="Calibri" w:hAnsiTheme="minorHAnsi"/>
          <w:sz w:val="20"/>
          <w:szCs w:val="20"/>
        </w:rPr>
        <w:t xml:space="preserve"> contains names, contact and demographic information, and medical information on healthy volunteers who have pre-consented to be contacted for research studies</w:t>
      </w:r>
      <w:r>
        <w:rPr>
          <w:rFonts w:asciiTheme="minorHAnsi" w:eastAsia="Calibri" w:hAnsiTheme="minorHAnsi"/>
          <w:sz w:val="20"/>
          <w:szCs w:val="20"/>
        </w:rPr>
        <w:t>. This repository also contains</w:t>
      </w:r>
      <w:r w:rsidRPr="00D013F9">
        <w:rPr>
          <w:rFonts w:asciiTheme="minorHAnsi" w:eastAsia="Calibri" w:hAnsiTheme="minorHAnsi"/>
          <w:sz w:val="20"/>
          <w:szCs w:val="20"/>
        </w:rPr>
        <w:t xml:space="preserve"> pre-collected biospecimens (serum, plasma, urine, saliva</w:t>
      </w:r>
      <w:r>
        <w:rPr>
          <w:rFonts w:asciiTheme="minorHAnsi" w:eastAsia="Calibri" w:hAnsiTheme="minorHAnsi"/>
          <w:sz w:val="20"/>
          <w:szCs w:val="20"/>
        </w:rPr>
        <w:t xml:space="preserve"> and stool</w:t>
      </w:r>
      <w:r w:rsidRPr="00D013F9">
        <w:rPr>
          <w:rFonts w:asciiTheme="minorHAnsi" w:eastAsia="Calibri" w:hAnsiTheme="minorHAnsi"/>
          <w:sz w:val="20"/>
          <w:szCs w:val="20"/>
        </w:rPr>
        <w:t>)</w:t>
      </w:r>
      <w:r>
        <w:rPr>
          <w:rFonts w:asciiTheme="minorHAnsi" w:eastAsia="Calibri" w:hAnsiTheme="minorHAnsi"/>
          <w:sz w:val="20"/>
          <w:szCs w:val="20"/>
        </w:rPr>
        <w:t xml:space="preserve"> that are available to study teams for a control comparison or assay testing</w:t>
      </w:r>
      <w:r w:rsidRPr="00D013F9">
        <w:rPr>
          <w:rFonts w:asciiTheme="minorHAnsi" w:eastAsia="Calibri" w:hAnsiTheme="minorHAnsi"/>
          <w:sz w:val="20"/>
          <w:szCs w:val="20"/>
        </w:rPr>
        <w:t>.</w:t>
      </w:r>
    </w:p>
    <w:p w14:paraId="2D0E093C" w14:textId="77777777" w:rsidR="00151EC9" w:rsidRPr="00214227" w:rsidRDefault="00151EC9" w:rsidP="005827C4">
      <w:pPr>
        <w:autoSpaceDE w:val="0"/>
        <w:autoSpaceDN w:val="0"/>
        <w:adjustRightInd w:val="0"/>
        <w:rPr>
          <w:rFonts w:asciiTheme="minorHAnsi" w:hAnsiTheme="minorHAnsi" w:cs="Arial"/>
          <w:iCs/>
          <w:color w:val="000000"/>
          <w:sz w:val="20"/>
          <w:szCs w:val="20"/>
        </w:rPr>
      </w:pPr>
    </w:p>
    <w:p w14:paraId="3EA5BF4D" w14:textId="77777777" w:rsidR="00E91C76" w:rsidRDefault="00E91C76" w:rsidP="00E91C76">
      <w:pPr>
        <w:autoSpaceDE w:val="0"/>
        <w:autoSpaceDN w:val="0"/>
        <w:adjustRightInd w:val="0"/>
        <w:rPr>
          <w:rFonts w:asciiTheme="minorHAnsi" w:hAnsiTheme="minorHAnsi" w:cs="Arial"/>
          <w:b/>
          <w:iCs/>
          <w:color w:val="000000"/>
          <w:sz w:val="20"/>
          <w:szCs w:val="20"/>
        </w:rPr>
      </w:pPr>
      <w:r w:rsidRPr="00054CFA">
        <w:rPr>
          <w:rFonts w:asciiTheme="minorHAnsi" w:hAnsiTheme="minorHAnsi" w:cs="Arial"/>
          <w:b/>
          <w:iCs/>
          <w:color w:val="000000"/>
          <w:sz w:val="20"/>
          <w:szCs w:val="20"/>
          <w:u w:val="single"/>
        </w:rPr>
        <w:t>Recruitment Resources:</w:t>
      </w:r>
      <w:r>
        <w:rPr>
          <w:rFonts w:asciiTheme="minorHAnsi" w:hAnsiTheme="minorHAnsi" w:cs="Arial"/>
          <w:b/>
          <w:iCs/>
          <w:color w:val="000000"/>
          <w:sz w:val="20"/>
          <w:szCs w:val="20"/>
        </w:rPr>
        <w:t xml:space="preserve"> </w:t>
      </w:r>
    </w:p>
    <w:p w14:paraId="77A8CDED" w14:textId="092E6496" w:rsidR="00E91C76" w:rsidRDefault="00E91C76" w:rsidP="00E91C76">
      <w:pPr>
        <w:autoSpaceDE w:val="0"/>
        <w:autoSpaceDN w:val="0"/>
        <w:adjustRightInd w:val="0"/>
        <w:rPr>
          <w:rFonts w:asciiTheme="minorHAnsi" w:eastAsia="Calibri" w:hAnsiTheme="minorHAnsi"/>
          <w:sz w:val="20"/>
          <w:szCs w:val="20"/>
        </w:rPr>
      </w:pPr>
      <w:r w:rsidRPr="002C3DDD">
        <w:rPr>
          <w:rFonts w:asciiTheme="minorHAnsi" w:hAnsiTheme="minorHAnsi" w:cstheme="minorHAnsi"/>
          <w:bCs/>
          <w:sz w:val="20"/>
          <w:szCs w:val="20"/>
        </w:rPr>
        <w:t>OCTRI</w:t>
      </w:r>
      <w:r w:rsidRPr="002C3DDD">
        <w:rPr>
          <w:rFonts w:asciiTheme="minorHAnsi" w:hAnsiTheme="minorHAnsi" w:cstheme="minorHAnsi"/>
          <w:sz w:val="20"/>
          <w:szCs w:val="20"/>
        </w:rPr>
        <w:t xml:space="preserve"> </w:t>
      </w:r>
      <w:r>
        <w:rPr>
          <w:rFonts w:asciiTheme="minorHAnsi" w:hAnsiTheme="minorHAnsi" w:cstheme="minorHAnsi"/>
          <w:sz w:val="20"/>
          <w:szCs w:val="20"/>
        </w:rPr>
        <w:t xml:space="preserve">supports the research community with </w:t>
      </w:r>
      <w:proofErr w:type="gramStart"/>
      <w:r>
        <w:rPr>
          <w:rFonts w:asciiTheme="minorHAnsi" w:hAnsiTheme="minorHAnsi" w:cstheme="minorHAnsi"/>
          <w:sz w:val="20"/>
          <w:szCs w:val="20"/>
        </w:rPr>
        <w:t>the tools</w:t>
      </w:r>
      <w:proofErr w:type="gramEnd"/>
      <w:r>
        <w:rPr>
          <w:rFonts w:asciiTheme="minorHAnsi" w:hAnsiTheme="minorHAnsi" w:cstheme="minorHAnsi"/>
          <w:sz w:val="20"/>
          <w:szCs w:val="20"/>
        </w:rPr>
        <w:t xml:space="preserve"> for successful study recruitment and retention. </w:t>
      </w:r>
      <w:r w:rsidR="00DC57C2">
        <w:rPr>
          <w:rFonts w:asciiTheme="minorHAnsi" w:hAnsiTheme="minorHAnsi" w:cstheme="minorHAnsi"/>
          <w:sz w:val="20"/>
          <w:szCs w:val="20"/>
        </w:rPr>
        <w:t>OCTRI’s recruitment program provides direct recruitment</w:t>
      </w:r>
      <w:r>
        <w:rPr>
          <w:rFonts w:asciiTheme="minorHAnsi" w:hAnsiTheme="minorHAnsi" w:cstheme="minorHAnsi"/>
          <w:sz w:val="20"/>
          <w:szCs w:val="20"/>
        </w:rPr>
        <w:t xml:space="preserve"> consultations </w:t>
      </w:r>
      <w:r w:rsidR="00DC57C2">
        <w:rPr>
          <w:rFonts w:asciiTheme="minorHAnsi" w:hAnsiTheme="minorHAnsi" w:cstheme="minorHAnsi"/>
          <w:sz w:val="20"/>
          <w:szCs w:val="20"/>
        </w:rPr>
        <w:t xml:space="preserve">inclusive of </w:t>
      </w:r>
      <w:r>
        <w:rPr>
          <w:rFonts w:asciiTheme="minorHAnsi" w:hAnsiTheme="minorHAnsi" w:cstheme="minorHAnsi"/>
          <w:sz w:val="20"/>
          <w:szCs w:val="20"/>
        </w:rPr>
        <w:t>advice on best practices and tailored recruitment strateg</w:t>
      </w:r>
      <w:r w:rsidR="00DC57C2">
        <w:rPr>
          <w:rFonts w:asciiTheme="minorHAnsi" w:eastAsia="Calibri" w:hAnsiTheme="minorHAnsi"/>
          <w:sz w:val="20"/>
          <w:szCs w:val="20"/>
        </w:rPr>
        <w:t xml:space="preserve">ies. In addition, the OCTRI recruitment program can provide input and expert advice on materials to be used for study recruitment. </w:t>
      </w:r>
    </w:p>
    <w:p w14:paraId="572863A7" w14:textId="77777777" w:rsidR="00DC57C2" w:rsidRDefault="00DC57C2" w:rsidP="00E91C76">
      <w:pPr>
        <w:autoSpaceDE w:val="0"/>
        <w:autoSpaceDN w:val="0"/>
        <w:adjustRightInd w:val="0"/>
        <w:rPr>
          <w:rFonts w:asciiTheme="minorHAnsi" w:eastAsia="Calibri" w:hAnsiTheme="minorHAnsi"/>
          <w:sz w:val="20"/>
          <w:szCs w:val="20"/>
        </w:rPr>
      </w:pPr>
    </w:p>
    <w:p w14:paraId="3734086D" w14:textId="65283CC0" w:rsidR="00DC57C2" w:rsidRDefault="007619F8" w:rsidP="00E91C76">
      <w:pPr>
        <w:autoSpaceDE w:val="0"/>
        <w:autoSpaceDN w:val="0"/>
        <w:adjustRightInd w:val="0"/>
        <w:rPr>
          <w:rFonts w:asciiTheme="minorHAnsi" w:eastAsia="Calibri" w:hAnsiTheme="minorHAnsi"/>
          <w:sz w:val="20"/>
          <w:szCs w:val="20"/>
        </w:rPr>
      </w:pPr>
      <w:r>
        <w:rPr>
          <w:rFonts w:asciiTheme="minorHAnsi" w:eastAsia="Calibri" w:hAnsiTheme="minorHAnsi"/>
          <w:sz w:val="20"/>
          <w:szCs w:val="20"/>
        </w:rPr>
        <w:t>OCTRI services that are often h</w:t>
      </w:r>
      <w:r w:rsidR="00E91C76">
        <w:rPr>
          <w:rFonts w:asciiTheme="minorHAnsi" w:eastAsia="Calibri" w:hAnsiTheme="minorHAnsi"/>
          <w:sz w:val="20"/>
          <w:szCs w:val="20"/>
        </w:rPr>
        <w:t xml:space="preserve">elpful </w:t>
      </w:r>
      <w:r>
        <w:rPr>
          <w:rFonts w:asciiTheme="minorHAnsi" w:eastAsia="Calibri" w:hAnsiTheme="minorHAnsi"/>
          <w:sz w:val="20"/>
          <w:szCs w:val="20"/>
        </w:rPr>
        <w:t>for recruitment</w:t>
      </w:r>
      <w:r w:rsidR="00E91C76">
        <w:rPr>
          <w:rFonts w:asciiTheme="minorHAnsi" w:eastAsia="Calibri" w:hAnsiTheme="minorHAnsi"/>
          <w:sz w:val="20"/>
          <w:szCs w:val="20"/>
        </w:rPr>
        <w:t xml:space="preserve"> include</w:t>
      </w:r>
      <w:r w:rsidR="00DC57C2">
        <w:rPr>
          <w:rFonts w:asciiTheme="minorHAnsi" w:eastAsia="Calibri" w:hAnsiTheme="minorHAnsi"/>
          <w:sz w:val="20"/>
          <w:szCs w:val="20"/>
        </w:rPr>
        <w:t>:</w:t>
      </w:r>
      <w:r w:rsidR="00E91C76">
        <w:rPr>
          <w:rFonts w:asciiTheme="minorHAnsi" w:eastAsia="Calibri" w:hAnsiTheme="minorHAnsi"/>
          <w:sz w:val="20"/>
          <w:szCs w:val="20"/>
        </w:rPr>
        <w:t xml:space="preserve"> </w:t>
      </w:r>
    </w:p>
    <w:p w14:paraId="01E46757" w14:textId="77777777" w:rsidR="00DC57C2" w:rsidRDefault="00DC57C2" w:rsidP="00E91C76">
      <w:pPr>
        <w:autoSpaceDE w:val="0"/>
        <w:autoSpaceDN w:val="0"/>
        <w:adjustRightInd w:val="0"/>
        <w:rPr>
          <w:rFonts w:asciiTheme="minorHAnsi" w:eastAsia="Calibri" w:hAnsiTheme="minorHAnsi"/>
          <w:sz w:val="20"/>
          <w:szCs w:val="20"/>
        </w:rPr>
      </w:pPr>
    </w:p>
    <w:p w14:paraId="6D50F925" w14:textId="53AF7956" w:rsidR="00DC57C2" w:rsidRPr="008B2CA9" w:rsidRDefault="00DC57C2" w:rsidP="008B2CA9">
      <w:pPr>
        <w:pStyle w:val="ListParagraph"/>
        <w:numPr>
          <w:ilvl w:val="0"/>
          <w:numId w:val="14"/>
        </w:numPr>
        <w:autoSpaceDE w:val="0"/>
        <w:autoSpaceDN w:val="0"/>
        <w:adjustRightInd w:val="0"/>
        <w:rPr>
          <w:rFonts w:asciiTheme="minorHAnsi" w:eastAsia="Calibri" w:hAnsiTheme="minorHAnsi"/>
          <w:sz w:val="20"/>
          <w:szCs w:val="20"/>
        </w:rPr>
      </w:pPr>
      <w:r w:rsidRPr="008B2CA9">
        <w:rPr>
          <w:rFonts w:asciiTheme="minorHAnsi" w:eastAsia="Calibri" w:hAnsiTheme="minorHAnsi"/>
          <w:sz w:val="20"/>
          <w:szCs w:val="20"/>
        </w:rPr>
        <w:t>T</w:t>
      </w:r>
      <w:r w:rsidR="00E91C76" w:rsidRPr="008B2CA9">
        <w:rPr>
          <w:rFonts w:asciiTheme="minorHAnsi" w:eastAsia="Calibri" w:hAnsiTheme="minorHAnsi"/>
          <w:sz w:val="20"/>
          <w:szCs w:val="20"/>
        </w:rPr>
        <w:t xml:space="preserve">he Research Data Warehouse (RDW). This virtual warehouse contains all of OHSU’s electronic health record data, cancer registry data and pathology data. This virtual research data warehouse is a rich resource for researchers seeking to identify and recruit participants to their research trial based on specific criteria. Informatics analysts work with an investigator one on one to develop complex and efficient queries to identify potentially eligible participants. </w:t>
      </w:r>
    </w:p>
    <w:p w14:paraId="0911C7B8" w14:textId="1A73FFB4" w:rsidR="00DC57C2" w:rsidRPr="008B2CA9" w:rsidRDefault="00E91C76" w:rsidP="008B2CA9">
      <w:pPr>
        <w:pStyle w:val="ListParagraph"/>
        <w:numPr>
          <w:ilvl w:val="0"/>
          <w:numId w:val="14"/>
        </w:numPr>
        <w:autoSpaceDE w:val="0"/>
        <w:autoSpaceDN w:val="0"/>
        <w:adjustRightInd w:val="0"/>
        <w:rPr>
          <w:rFonts w:asciiTheme="minorHAnsi" w:eastAsia="Calibri" w:hAnsiTheme="minorHAnsi"/>
          <w:sz w:val="20"/>
          <w:szCs w:val="20"/>
        </w:rPr>
      </w:pPr>
      <w:r w:rsidRPr="008B2CA9">
        <w:rPr>
          <w:rFonts w:asciiTheme="minorHAnsi" w:eastAsia="Calibri" w:hAnsiTheme="minorHAnsi"/>
          <w:sz w:val="20"/>
          <w:szCs w:val="20"/>
        </w:rPr>
        <w:t>Cohort Discovery (an i2b2 platform)</w:t>
      </w:r>
      <w:r w:rsidR="00DC57C2" w:rsidRPr="008B2CA9">
        <w:rPr>
          <w:rFonts w:asciiTheme="minorHAnsi" w:eastAsia="Calibri" w:hAnsiTheme="minorHAnsi"/>
          <w:sz w:val="20"/>
          <w:szCs w:val="20"/>
        </w:rPr>
        <w:t>, a self-service tool to access information found in the Research Data Warehouse</w:t>
      </w:r>
      <w:r w:rsidRPr="008B2CA9">
        <w:rPr>
          <w:rFonts w:asciiTheme="minorHAnsi" w:eastAsia="Calibri" w:hAnsiTheme="minorHAnsi"/>
          <w:sz w:val="20"/>
          <w:szCs w:val="20"/>
        </w:rPr>
        <w:t xml:space="preserve">. In Cohort Discovery investigators use a web-based drag and drop model to design their own query and, with appropriate IRB approvals in place, request a limited dataset (which includes contact information) from our analysts. </w:t>
      </w:r>
    </w:p>
    <w:p w14:paraId="17AB63B3" w14:textId="4D27C76A" w:rsidR="00DC57C2" w:rsidRPr="008B2CA9" w:rsidRDefault="00E91C76" w:rsidP="008B2CA9">
      <w:pPr>
        <w:pStyle w:val="ListParagraph"/>
        <w:numPr>
          <w:ilvl w:val="0"/>
          <w:numId w:val="14"/>
        </w:numPr>
        <w:autoSpaceDE w:val="0"/>
        <w:autoSpaceDN w:val="0"/>
        <w:adjustRightInd w:val="0"/>
        <w:rPr>
          <w:rFonts w:asciiTheme="minorHAnsi" w:eastAsia="Calibri" w:hAnsiTheme="minorHAnsi"/>
          <w:sz w:val="20"/>
          <w:szCs w:val="20"/>
        </w:rPr>
      </w:pPr>
      <w:r w:rsidRPr="008B2CA9">
        <w:rPr>
          <w:rFonts w:asciiTheme="minorHAnsi" w:eastAsia="Calibri" w:hAnsiTheme="minorHAnsi"/>
          <w:sz w:val="20"/>
          <w:szCs w:val="20"/>
        </w:rPr>
        <w:t>REDCap surveys</w:t>
      </w:r>
      <w:r w:rsidR="00DC57C2" w:rsidRPr="008B2CA9">
        <w:rPr>
          <w:rFonts w:asciiTheme="minorHAnsi" w:eastAsia="Calibri" w:hAnsiTheme="minorHAnsi"/>
          <w:sz w:val="20"/>
          <w:szCs w:val="20"/>
        </w:rPr>
        <w:t xml:space="preserve">, a flexible </w:t>
      </w:r>
      <w:r w:rsidR="007619F8" w:rsidRPr="008B2CA9">
        <w:rPr>
          <w:rFonts w:asciiTheme="minorHAnsi" w:eastAsia="Calibri" w:hAnsiTheme="minorHAnsi"/>
          <w:sz w:val="20"/>
          <w:szCs w:val="20"/>
        </w:rPr>
        <w:t>web-based</w:t>
      </w:r>
      <w:r w:rsidR="00DC57C2" w:rsidRPr="008B2CA9">
        <w:rPr>
          <w:rFonts w:asciiTheme="minorHAnsi" w:eastAsia="Calibri" w:hAnsiTheme="minorHAnsi"/>
          <w:sz w:val="20"/>
          <w:szCs w:val="20"/>
        </w:rPr>
        <w:t xml:space="preserve"> tool that can be leveraged to create screening tools</w:t>
      </w:r>
      <w:r w:rsidRPr="008B2CA9">
        <w:rPr>
          <w:rFonts w:asciiTheme="minorHAnsi" w:eastAsia="Calibri" w:hAnsiTheme="minorHAnsi"/>
          <w:sz w:val="20"/>
          <w:szCs w:val="20"/>
        </w:rPr>
        <w:t xml:space="preserve">. </w:t>
      </w:r>
      <w:r w:rsidR="00DC57C2" w:rsidRPr="008B2CA9">
        <w:rPr>
          <w:rFonts w:asciiTheme="minorHAnsi" w:eastAsia="Calibri" w:hAnsiTheme="minorHAnsi"/>
          <w:sz w:val="20"/>
          <w:szCs w:val="20"/>
        </w:rPr>
        <w:t>S</w:t>
      </w:r>
      <w:r w:rsidRPr="008B2CA9">
        <w:rPr>
          <w:rFonts w:asciiTheme="minorHAnsi" w:eastAsia="Calibri" w:hAnsiTheme="minorHAnsi"/>
          <w:sz w:val="20"/>
          <w:szCs w:val="20"/>
        </w:rPr>
        <w:t xml:space="preserve">hort eligibility survey </w:t>
      </w:r>
      <w:r w:rsidR="00DC57C2" w:rsidRPr="008B2CA9">
        <w:rPr>
          <w:rFonts w:asciiTheme="minorHAnsi" w:eastAsia="Calibri" w:hAnsiTheme="minorHAnsi"/>
          <w:sz w:val="20"/>
          <w:szCs w:val="20"/>
        </w:rPr>
        <w:t xml:space="preserve">links can be disseminated on posters, websites or other venues. </w:t>
      </w:r>
      <w:proofErr w:type="gramStart"/>
      <w:r w:rsidR="00DC57C2" w:rsidRPr="008B2CA9">
        <w:rPr>
          <w:rFonts w:asciiTheme="minorHAnsi" w:eastAsia="Calibri" w:hAnsiTheme="minorHAnsi"/>
          <w:sz w:val="20"/>
          <w:szCs w:val="20"/>
        </w:rPr>
        <w:t>Through the use of</w:t>
      </w:r>
      <w:proofErr w:type="gramEnd"/>
      <w:r w:rsidR="00DC57C2" w:rsidRPr="008B2CA9">
        <w:rPr>
          <w:rFonts w:asciiTheme="minorHAnsi" w:eastAsia="Calibri" w:hAnsiTheme="minorHAnsi"/>
          <w:sz w:val="20"/>
          <w:szCs w:val="20"/>
        </w:rPr>
        <w:t xml:space="preserve"> electronic surveys </w:t>
      </w:r>
      <w:r w:rsidRPr="008B2CA9">
        <w:rPr>
          <w:rFonts w:asciiTheme="minorHAnsi" w:eastAsia="Calibri" w:hAnsiTheme="minorHAnsi"/>
          <w:sz w:val="20"/>
          <w:szCs w:val="20"/>
        </w:rPr>
        <w:t xml:space="preserve">researchers </w:t>
      </w:r>
      <w:r w:rsidR="00DC57C2" w:rsidRPr="008B2CA9">
        <w:rPr>
          <w:rFonts w:asciiTheme="minorHAnsi" w:eastAsia="Calibri" w:hAnsiTheme="minorHAnsi"/>
          <w:sz w:val="20"/>
          <w:szCs w:val="20"/>
        </w:rPr>
        <w:t xml:space="preserve">are quickly able </w:t>
      </w:r>
      <w:r w:rsidRPr="008B2CA9">
        <w:rPr>
          <w:rFonts w:asciiTheme="minorHAnsi" w:eastAsia="Calibri" w:hAnsiTheme="minorHAnsi"/>
          <w:sz w:val="20"/>
          <w:szCs w:val="20"/>
        </w:rPr>
        <w:t xml:space="preserve">to identify people who are both interested and potentially eligible to participate. </w:t>
      </w:r>
    </w:p>
    <w:p w14:paraId="21F0FEF3" w14:textId="53D58FAE" w:rsidR="00E91C76" w:rsidRPr="008B2CA9" w:rsidRDefault="00E91C76" w:rsidP="008B2CA9">
      <w:pPr>
        <w:pStyle w:val="ListParagraph"/>
        <w:numPr>
          <w:ilvl w:val="0"/>
          <w:numId w:val="14"/>
        </w:numPr>
        <w:autoSpaceDE w:val="0"/>
        <w:autoSpaceDN w:val="0"/>
        <w:adjustRightInd w:val="0"/>
        <w:rPr>
          <w:rFonts w:asciiTheme="minorHAnsi" w:eastAsia="Calibri" w:hAnsiTheme="minorHAnsi"/>
          <w:sz w:val="20"/>
          <w:szCs w:val="20"/>
        </w:rPr>
      </w:pPr>
      <w:r w:rsidRPr="008B2CA9">
        <w:rPr>
          <w:rFonts w:asciiTheme="minorHAnsi" w:eastAsia="Calibri" w:hAnsiTheme="minorHAnsi"/>
          <w:sz w:val="20"/>
          <w:szCs w:val="20"/>
        </w:rPr>
        <w:t xml:space="preserve"> ResearchMatch is a registry of interested potential participants</w:t>
      </w:r>
      <w:r w:rsidR="00DC57C2" w:rsidRPr="008B2CA9">
        <w:rPr>
          <w:rFonts w:asciiTheme="minorHAnsi" w:eastAsia="Calibri" w:hAnsiTheme="minorHAnsi"/>
          <w:sz w:val="20"/>
          <w:szCs w:val="20"/>
        </w:rPr>
        <w:t xml:space="preserve">. </w:t>
      </w:r>
      <w:r w:rsidRPr="008B2CA9">
        <w:rPr>
          <w:rFonts w:asciiTheme="minorHAnsi" w:eastAsia="Calibri" w:hAnsiTheme="minorHAnsi"/>
          <w:sz w:val="20"/>
          <w:szCs w:val="20"/>
        </w:rPr>
        <w:t xml:space="preserve">Researchers can query the ResearchMatch repository to find potentially eligible subjects and send them an IRB approved message inviting them to learn more about the study. </w:t>
      </w:r>
    </w:p>
    <w:p w14:paraId="5E9040CB" w14:textId="6559D9B2" w:rsidR="00E91C76" w:rsidRPr="008B2CA9" w:rsidRDefault="00DC57C2" w:rsidP="008B2CA9">
      <w:pPr>
        <w:pStyle w:val="ListParagraph"/>
        <w:numPr>
          <w:ilvl w:val="0"/>
          <w:numId w:val="14"/>
        </w:numPr>
        <w:autoSpaceDE w:val="0"/>
        <w:autoSpaceDN w:val="0"/>
        <w:adjustRightInd w:val="0"/>
        <w:rPr>
          <w:rFonts w:asciiTheme="minorHAnsi" w:eastAsia="Calibri" w:hAnsiTheme="minorHAnsi"/>
          <w:sz w:val="20"/>
          <w:szCs w:val="20"/>
        </w:rPr>
      </w:pPr>
      <w:r w:rsidRPr="008B2CA9">
        <w:rPr>
          <w:rFonts w:asciiTheme="minorHAnsi" w:eastAsia="Calibri" w:hAnsiTheme="minorHAnsi"/>
          <w:sz w:val="20"/>
          <w:szCs w:val="20"/>
        </w:rPr>
        <w:t>The</w:t>
      </w:r>
      <w:r w:rsidR="00E91C76" w:rsidRPr="008B2CA9">
        <w:rPr>
          <w:rFonts w:asciiTheme="minorHAnsi" w:eastAsia="Calibri" w:hAnsiTheme="minorHAnsi"/>
          <w:sz w:val="20"/>
          <w:szCs w:val="20"/>
        </w:rPr>
        <w:t xml:space="preserve"> OCTRI</w:t>
      </w:r>
      <w:r w:rsidRPr="008B2CA9">
        <w:rPr>
          <w:rFonts w:asciiTheme="minorHAnsi" w:eastAsia="Calibri" w:hAnsiTheme="minorHAnsi"/>
          <w:sz w:val="20"/>
          <w:szCs w:val="20"/>
        </w:rPr>
        <w:t xml:space="preserve"> Research Volunteer Repository (RVR), maintained by the</w:t>
      </w:r>
      <w:r w:rsidR="00E91C76" w:rsidRPr="008B2CA9">
        <w:rPr>
          <w:rFonts w:asciiTheme="minorHAnsi" w:eastAsia="Calibri" w:hAnsiTheme="minorHAnsi"/>
          <w:sz w:val="20"/>
          <w:szCs w:val="20"/>
        </w:rPr>
        <w:t xml:space="preserve"> Clinical and Translational Research Center (CTRC) </w:t>
      </w:r>
      <w:r w:rsidRPr="008B2CA9">
        <w:rPr>
          <w:rFonts w:asciiTheme="minorHAnsi" w:eastAsia="Calibri" w:hAnsiTheme="minorHAnsi"/>
          <w:sz w:val="20"/>
          <w:szCs w:val="20"/>
        </w:rPr>
        <w:t>is a repository of</w:t>
      </w:r>
      <w:r w:rsidR="00E91C76" w:rsidRPr="008B2CA9">
        <w:rPr>
          <w:rFonts w:asciiTheme="minorHAnsi" w:eastAsia="Calibri" w:hAnsiTheme="minorHAnsi"/>
          <w:sz w:val="20"/>
          <w:szCs w:val="20"/>
        </w:rPr>
        <w:t xml:space="preserve"> </w:t>
      </w:r>
      <w:r w:rsidRPr="008B2CA9">
        <w:rPr>
          <w:rFonts w:asciiTheme="minorHAnsi" w:eastAsia="Calibri" w:hAnsiTheme="minorHAnsi"/>
          <w:sz w:val="20"/>
          <w:szCs w:val="20"/>
        </w:rPr>
        <w:t xml:space="preserve">local </w:t>
      </w:r>
      <w:r w:rsidR="00E91C76" w:rsidRPr="008B2CA9">
        <w:rPr>
          <w:rFonts w:asciiTheme="minorHAnsi" w:eastAsia="Calibri" w:hAnsiTheme="minorHAnsi"/>
          <w:sz w:val="20"/>
          <w:szCs w:val="20"/>
        </w:rPr>
        <w:t>people who are willing to be contacted to participate in future research. OHSU investigators can obtain/gain access to this registry</w:t>
      </w:r>
      <w:r w:rsidRPr="008B2CA9">
        <w:rPr>
          <w:rFonts w:asciiTheme="minorHAnsi" w:eastAsia="Calibri" w:hAnsiTheme="minorHAnsi"/>
          <w:sz w:val="20"/>
          <w:szCs w:val="20"/>
        </w:rPr>
        <w:t xml:space="preserve"> </w:t>
      </w:r>
      <w:r w:rsidR="00E91C76" w:rsidRPr="008B2CA9">
        <w:rPr>
          <w:rFonts w:asciiTheme="minorHAnsi" w:eastAsia="Calibri" w:hAnsiTheme="minorHAnsi"/>
          <w:sz w:val="20"/>
          <w:szCs w:val="20"/>
        </w:rPr>
        <w:t xml:space="preserve">and quickly find a list of potential subjects who have agreed to be contacted to take part in their research. This registry also includes pre-screened anonymous biological samples from healthy subjects (serum, plasma, urine, saliva and stool) that are immediately available as control samples.  </w:t>
      </w:r>
    </w:p>
    <w:p w14:paraId="693BE7E1" w14:textId="764820A3" w:rsidR="00E91C76" w:rsidRPr="008B2CA9" w:rsidRDefault="00DC57C2" w:rsidP="008B2CA9">
      <w:pPr>
        <w:pStyle w:val="ListParagraph"/>
        <w:numPr>
          <w:ilvl w:val="0"/>
          <w:numId w:val="14"/>
        </w:numPr>
        <w:autoSpaceDE w:val="0"/>
        <w:autoSpaceDN w:val="0"/>
        <w:adjustRightInd w:val="0"/>
        <w:rPr>
          <w:rFonts w:asciiTheme="minorHAnsi" w:eastAsia="Calibri" w:hAnsiTheme="minorHAnsi"/>
          <w:sz w:val="20"/>
          <w:szCs w:val="20"/>
        </w:rPr>
      </w:pPr>
      <w:r>
        <w:rPr>
          <w:rFonts w:asciiTheme="minorHAnsi" w:eastAsia="Calibri" w:hAnsiTheme="minorHAnsi"/>
          <w:sz w:val="20"/>
          <w:szCs w:val="20"/>
        </w:rPr>
        <w:t xml:space="preserve">CTRC Study Coordinators are available </w:t>
      </w:r>
      <w:r w:rsidRPr="008B2CA9">
        <w:rPr>
          <w:rFonts w:asciiTheme="minorHAnsi" w:eastAsia="Calibri" w:hAnsiTheme="minorHAnsi"/>
          <w:sz w:val="20"/>
          <w:szCs w:val="20"/>
        </w:rPr>
        <w:t>to assist with direct patient recruitment through phone calls, staffing events, preparing and distributing posters etc.</w:t>
      </w:r>
      <w:r w:rsidR="00E91C76" w:rsidRPr="008B2CA9">
        <w:rPr>
          <w:rFonts w:asciiTheme="minorHAnsi" w:eastAsia="Calibri" w:hAnsiTheme="minorHAnsi"/>
          <w:sz w:val="20"/>
          <w:szCs w:val="20"/>
        </w:rPr>
        <w:t xml:space="preserve"> </w:t>
      </w:r>
    </w:p>
    <w:p w14:paraId="3A3B989A" w14:textId="77777777" w:rsidR="00E91C76" w:rsidRDefault="00E91C76" w:rsidP="00E91C76">
      <w:pPr>
        <w:autoSpaceDE w:val="0"/>
        <w:autoSpaceDN w:val="0"/>
        <w:adjustRightInd w:val="0"/>
        <w:rPr>
          <w:rFonts w:asciiTheme="minorHAnsi" w:eastAsia="Calibri" w:hAnsiTheme="minorHAnsi"/>
          <w:sz w:val="20"/>
          <w:szCs w:val="20"/>
        </w:rPr>
      </w:pPr>
    </w:p>
    <w:p w14:paraId="1B5A1B12" w14:textId="77777777" w:rsidR="00E91C76" w:rsidRDefault="00E91C76" w:rsidP="00E91C76">
      <w:pPr>
        <w:autoSpaceDE w:val="0"/>
        <w:autoSpaceDN w:val="0"/>
        <w:adjustRightInd w:val="0"/>
        <w:rPr>
          <w:rFonts w:asciiTheme="minorHAnsi" w:eastAsia="Calibri" w:hAnsiTheme="minorHAnsi"/>
          <w:sz w:val="20"/>
          <w:szCs w:val="20"/>
        </w:rPr>
      </w:pPr>
      <w:r w:rsidRPr="007C741C">
        <w:rPr>
          <w:rFonts w:asciiTheme="minorHAnsi" w:eastAsia="Calibri" w:hAnsiTheme="minorHAnsi"/>
          <w:sz w:val="20"/>
          <w:szCs w:val="20"/>
        </w:rPr>
        <w:t xml:space="preserve">For projects </w:t>
      </w:r>
      <w:proofErr w:type="gramStart"/>
      <w:r>
        <w:rPr>
          <w:rFonts w:asciiTheme="minorHAnsi" w:eastAsia="Calibri" w:hAnsiTheme="minorHAnsi"/>
          <w:sz w:val="20"/>
          <w:szCs w:val="20"/>
        </w:rPr>
        <w:t>experiencing difficulty</w:t>
      </w:r>
      <w:proofErr w:type="gramEnd"/>
      <w:r>
        <w:rPr>
          <w:rFonts w:asciiTheme="minorHAnsi" w:eastAsia="Calibri" w:hAnsiTheme="minorHAnsi"/>
          <w:sz w:val="20"/>
          <w:szCs w:val="20"/>
        </w:rPr>
        <w:t xml:space="preserve"> with recruitment or for those who would like an expert consultation regarding their recruitment plan, </w:t>
      </w:r>
      <w:r w:rsidRPr="007C741C">
        <w:rPr>
          <w:rFonts w:asciiTheme="minorHAnsi" w:eastAsia="Calibri" w:hAnsiTheme="minorHAnsi"/>
          <w:sz w:val="20"/>
          <w:szCs w:val="20"/>
        </w:rPr>
        <w:t xml:space="preserve">OCTRI also provides a venue </w:t>
      </w:r>
      <w:r>
        <w:rPr>
          <w:rFonts w:asciiTheme="minorHAnsi" w:eastAsia="Calibri" w:hAnsiTheme="minorHAnsi"/>
          <w:sz w:val="20"/>
          <w:szCs w:val="20"/>
        </w:rPr>
        <w:t>for</w:t>
      </w:r>
      <w:r w:rsidRPr="007C741C">
        <w:rPr>
          <w:rFonts w:asciiTheme="minorHAnsi" w:eastAsia="Calibri" w:hAnsiTheme="minorHAnsi"/>
          <w:sz w:val="20"/>
          <w:szCs w:val="20"/>
        </w:rPr>
        <w:t xml:space="preserve"> investigators </w:t>
      </w:r>
      <w:r>
        <w:rPr>
          <w:rFonts w:asciiTheme="minorHAnsi" w:eastAsia="Calibri" w:hAnsiTheme="minorHAnsi"/>
          <w:sz w:val="20"/>
          <w:szCs w:val="20"/>
        </w:rPr>
        <w:t>to</w:t>
      </w:r>
      <w:r w:rsidRPr="007C741C">
        <w:rPr>
          <w:rFonts w:asciiTheme="minorHAnsi" w:eastAsia="Calibri" w:hAnsiTheme="minorHAnsi"/>
          <w:sz w:val="20"/>
          <w:szCs w:val="20"/>
        </w:rPr>
        <w:t xml:space="preserve"> meet with representatives from </w:t>
      </w:r>
      <w:r>
        <w:rPr>
          <w:rFonts w:asciiTheme="minorHAnsi" w:eastAsia="Calibri" w:hAnsiTheme="minorHAnsi"/>
          <w:sz w:val="20"/>
          <w:szCs w:val="20"/>
        </w:rPr>
        <w:t xml:space="preserve">a variety of </w:t>
      </w:r>
      <w:r w:rsidRPr="007C741C">
        <w:rPr>
          <w:rFonts w:asciiTheme="minorHAnsi" w:eastAsia="Calibri" w:hAnsiTheme="minorHAnsi"/>
          <w:sz w:val="20"/>
          <w:szCs w:val="20"/>
        </w:rPr>
        <w:t>clinical research programs</w:t>
      </w:r>
      <w:r>
        <w:rPr>
          <w:rFonts w:asciiTheme="minorHAnsi" w:eastAsia="Calibri" w:hAnsiTheme="minorHAnsi"/>
          <w:sz w:val="20"/>
          <w:szCs w:val="20"/>
        </w:rPr>
        <w:t>, including a recruitment specialist,</w:t>
      </w:r>
      <w:r w:rsidRPr="007C741C">
        <w:rPr>
          <w:rFonts w:asciiTheme="minorHAnsi" w:eastAsia="Calibri" w:hAnsiTheme="minorHAnsi"/>
          <w:sz w:val="20"/>
          <w:szCs w:val="20"/>
        </w:rPr>
        <w:t xml:space="preserve"> within the CTSA to </w:t>
      </w:r>
      <w:r>
        <w:rPr>
          <w:rFonts w:asciiTheme="minorHAnsi" w:eastAsia="Calibri" w:hAnsiTheme="minorHAnsi"/>
          <w:sz w:val="20"/>
          <w:szCs w:val="20"/>
        </w:rPr>
        <w:t xml:space="preserve">determine what the best methods for recruitment onto their study are. </w:t>
      </w:r>
      <w:r w:rsidRPr="007C741C">
        <w:rPr>
          <w:rFonts w:asciiTheme="minorHAnsi" w:eastAsia="Calibri" w:hAnsiTheme="minorHAnsi"/>
          <w:sz w:val="20"/>
          <w:szCs w:val="20"/>
        </w:rPr>
        <w:t xml:space="preserve">  </w:t>
      </w:r>
    </w:p>
    <w:p w14:paraId="6ACD542F" w14:textId="77777777" w:rsidR="00E91C76" w:rsidRDefault="00E91C76" w:rsidP="00E91C76">
      <w:pPr>
        <w:autoSpaceDE w:val="0"/>
        <w:autoSpaceDN w:val="0"/>
        <w:adjustRightInd w:val="0"/>
        <w:rPr>
          <w:rFonts w:asciiTheme="minorHAnsi" w:eastAsia="Calibri" w:hAnsiTheme="minorHAnsi"/>
          <w:sz w:val="20"/>
          <w:szCs w:val="20"/>
        </w:rPr>
      </w:pPr>
    </w:p>
    <w:p w14:paraId="62237653" w14:textId="48190FE4" w:rsidR="00E91C76" w:rsidRPr="00054CFA" w:rsidRDefault="00E91C76" w:rsidP="00E91C76">
      <w:pPr>
        <w:autoSpaceDE w:val="0"/>
        <w:autoSpaceDN w:val="0"/>
        <w:adjustRightInd w:val="0"/>
        <w:rPr>
          <w:rFonts w:asciiTheme="minorHAnsi" w:eastAsia="Calibri" w:hAnsiTheme="minorHAnsi"/>
          <w:sz w:val="20"/>
          <w:szCs w:val="20"/>
        </w:rPr>
      </w:pPr>
      <w:r>
        <w:rPr>
          <w:rFonts w:asciiTheme="minorHAnsi" w:eastAsia="Calibri" w:hAnsiTheme="minorHAnsi"/>
          <w:b/>
          <w:sz w:val="20"/>
          <w:szCs w:val="20"/>
          <w:u w:val="single"/>
        </w:rPr>
        <w:t>REDCap</w:t>
      </w:r>
      <w:r>
        <w:rPr>
          <w:rFonts w:asciiTheme="minorHAnsi" w:eastAsia="Calibri" w:hAnsiTheme="minorHAnsi"/>
          <w:sz w:val="20"/>
          <w:szCs w:val="20"/>
        </w:rPr>
        <w:t xml:space="preserve">: </w:t>
      </w:r>
      <w:r w:rsidRPr="00054CFA">
        <w:rPr>
          <w:rFonts w:asciiTheme="minorHAnsi" w:eastAsia="Calibri" w:hAnsiTheme="minorHAnsi"/>
          <w:sz w:val="20"/>
          <w:szCs w:val="20"/>
        </w:rPr>
        <w:t>OCTRI's installation of REDCap</w:t>
      </w:r>
      <w:r>
        <w:rPr>
          <w:rFonts w:asciiTheme="minorHAnsi" w:eastAsia="Calibri" w:hAnsiTheme="minorHAnsi"/>
          <w:sz w:val="20"/>
          <w:szCs w:val="20"/>
        </w:rPr>
        <w:t xml:space="preserve"> is </w:t>
      </w:r>
      <w:r w:rsidRPr="00054CFA">
        <w:rPr>
          <w:rFonts w:asciiTheme="minorHAnsi" w:eastAsia="Calibri" w:hAnsiTheme="minorHAnsi"/>
          <w:sz w:val="20"/>
          <w:szCs w:val="20"/>
        </w:rPr>
        <w:t>highly secure and robust web-based research data collection and management system.</w:t>
      </w:r>
    </w:p>
    <w:p w14:paraId="057F33AF" w14:textId="77777777" w:rsidR="00E91C76" w:rsidRPr="00054CFA" w:rsidRDefault="00E91C76" w:rsidP="00E91C76">
      <w:pPr>
        <w:autoSpaceDE w:val="0"/>
        <w:autoSpaceDN w:val="0"/>
        <w:adjustRightInd w:val="0"/>
        <w:rPr>
          <w:rFonts w:asciiTheme="minorHAnsi" w:eastAsia="Calibri" w:hAnsiTheme="minorHAnsi"/>
          <w:sz w:val="20"/>
          <w:szCs w:val="20"/>
        </w:rPr>
      </w:pPr>
      <w:r w:rsidRPr="00054CFA">
        <w:rPr>
          <w:rFonts w:asciiTheme="minorHAnsi" w:eastAsia="Calibri" w:hAnsiTheme="minorHAnsi"/>
          <w:sz w:val="20"/>
          <w:szCs w:val="20"/>
        </w:rPr>
        <w:t xml:space="preserve"> </w:t>
      </w:r>
    </w:p>
    <w:p w14:paraId="7BEE78C4" w14:textId="77777777" w:rsidR="00E91C76" w:rsidRPr="00054CFA" w:rsidRDefault="00E91C76" w:rsidP="00E91C76">
      <w:pPr>
        <w:autoSpaceDE w:val="0"/>
        <w:autoSpaceDN w:val="0"/>
        <w:adjustRightInd w:val="0"/>
        <w:rPr>
          <w:rFonts w:asciiTheme="minorHAnsi" w:eastAsia="Calibri" w:hAnsiTheme="minorHAnsi"/>
          <w:sz w:val="20"/>
          <w:szCs w:val="20"/>
        </w:rPr>
      </w:pPr>
      <w:r w:rsidRPr="00054CFA">
        <w:rPr>
          <w:rFonts w:asciiTheme="minorHAnsi" w:eastAsia="Calibri" w:hAnsiTheme="minorHAnsi"/>
          <w:sz w:val="20"/>
          <w:szCs w:val="20"/>
        </w:rPr>
        <w:t>Features of REDCap that protect participants' privacy and data security include:</w:t>
      </w:r>
    </w:p>
    <w:p w14:paraId="069C0040" w14:textId="77777777" w:rsidR="00E91C76" w:rsidRPr="00054CFA" w:rsidRDefault="00E91C76" w:rsidP="00E91C76">
      <w:pPr>
        <w:pStyle w:val="ListParagraph"/>
        <w:numPr>
          <w:ilvl w:val="0"/>
          <w:numId w:val="13"/>
        </w:numPr>
        <w:autoSpaceDE w:val="0"/>
        <w:autoSpaceDN w:val="0"/>
        <w:adjustRightInd w:val="0"/>
        <w:rPr>
          <w:rFonts w:asciiTheme="minorHAnsi" w:eastAsia="Calibri" w:hAnsiTheme="minorHAnsi"/>
          <w:sz w:val="20"/>
          <w:szCs w:val="20"/>
        </w:rPr>
      </w:pPr>
      <w:r w:rsidRPr="00054CFA">
        <w:rPr>
          <w:rFonts w:asciiTheme="minorHAnsi" w:eastAsia="Calibri" w:hAnsiTheme="minorHAnsi"/>
          <w:sz w:val="20"/>
          <w:szCs w:val="20"/>
        </w:rPr>
        <w:t>Physical Security: OCTRI's REDCap software is housed on servers located in ITG's Advanced Computing Center providing locked physical security</w:t>
      </w:r>
      <w:r>
        <w:rPr>
          <w:rFonts w:asciiTheme="minorHAnsi" w:eastAsia="Calibri" w:hAnsiTheme="minorHAnsi"/>
          <w:sz w:val="20"/>
          <w:szCs w:val="20"/>
        </w:rPr>
        <w:t>.</w:t>
      </w:r>
    </w:p>
    <w:p w14:paraId="29C25345" w14:textId="77777777" w:rsidR="00E91C76" w:rsidRPr="00054CFA" w:rsidRDefault="00E91C76" w:rsidP="00E91C76">
      <w:pPr>
        <w:pStyle w:val="ListParagraph"/>
        <w:numPr>
          <w:ilvl w:val="0"/>
          <w:numId w:val="13"/>
        </w:numPr>
        <w:autoSpaceDE w:val="0"/>
        <w:autoSpaceDN w:val="0"/>
        <w:adjustRightInd w:val="0"/>
        <w:rPr>
          <w:rFonts w:asciiTheme="minorHAnsi" w:eastAsia="Calibri" w:hAnsiTheme="minorHAnsi"/>
          <w:sz w:val="20"/>
          <w:szCs w:val="20"/>
        </w:rPr>
      </w:pPr>
      <w:r w:rsidRPr="00054CFA">
        <w:rPr>
          <w:rFonts w:asciiTheme="minorHAnsi" w:eastAsia="Calibri" w:hAnsiTheme="minorHAnsi"/>
          <w:sz w:val="20"/>
          <w:szCs w:val="20"/>
        </w:rPr>
        <w:t xml:space="preserve">Electronic Security: The REDCap servers are housed behind both the OHSU firewall and a second ACC firewall.  All web-based data transmissions are encrypted with industry-standard SSL methods.  </w:t>
      </w:r>
    </w:p>
    <w:p w14:paraId="1F014480" w14:textId="77777777" w:rsidR="00E91C76" w:rsidRPr="00054CFA" w:rsidRDefault="00E91C76" w:rsidP="00E91C76">
      <w:pPr>
        <w:pStyle w:val="ListParagraph"/>
        <w:numPr>
          <w:ilvl w:val="0"/>
          <w:numId w:val="13"/>
        </w:numPr>
        <w:autoSpaceDE w:val="0"/>
        <w:autoSpaceDN w:val="0"/>
        <w:adjustRightInd w:val="0"/>
        <w:rPr>
          <w:rFonts w:asciiTheme="minorHAnsi" w:eastAsia="Calibri" w:hAnsiTheme="minorHAnsi"/>
          <w:sz w:val="20"/>
          <w:szCs w:val="20"/>
        </w:rPr>
      </w:pPr>
      <w:r w:rsidRPr="00054CFA">
        <w:rPr>
          <w:rFonts w:asciiTheme="minorHAnsi" w:eastAsia="Calibri" w:hAnsiTheme="minorHAnsi"/>
          <w:sz w:val="20"/>
          <w:szCs w:val="20"/>
        </w:rPr>
        <w:lastRenderedPageBreak/>
        <w:t>Controlled User Access: REDCap employs a robust multi-level security system that enables researchers to easily implement "minimum necessary" data access for their research staff, including specification of data fields that are identifiers. This feature includes “single click” ability to provide completely deidentified (removing all identified data fields and shifting dates)</w:t>
      </w:r>
      <w:r>
        <w:rPr>
          <w:rFonts w:asciiTheme="minorHAnsi" w:eastAsia="Calibri" w:hAnsiTheme="minorHAnsi"/>
          <w:sz w:val="20"/>
          <w:szCs w:val="20"/>
        </w:rPr>
        <w:t xml:space="preserve"> data</w:t>
      </w:r>
      <w:r w:rsidRPr="00054CFA">
        <w:rPr>
          <w:rFonts w:asciiTheme="minorHAnsi" w:eastAsia="Calibri" w:hAnsiTheme="minorHAnsi"/>
          <w:sz w:val="20"/>
          <w:szCs w:val="20"/>
        </w:rPr>
        <w:t xml:space="preserve"> for analysis or other purposes.  User activities are logged to enable auditing of all data access.   Access is integrated with OHSU's network such that users who are also OHSU employees are authenticated against their OHSU network credentials.  </w:t>
      </w:r>
    </w:p>
    <w:p w14:paraId="0EADB274" w14:textId="77777777" w:rsidR="00E91C76" w:rsidRPr="00054CFA" w:rsidRDefault="00E91C76" w:rsidP="00E91C76">
      <w:pPr>
        <w:pStyle w:val="ListParagraph"/>
        <w:numPr>
          <w:ilvl w:val="0"/>
          <w:numId w:val="13"/>
        </w:numPr>
        <w:autoSpaceDE w:val="0"/>
        <w:autoSpaceDN w:val="0"/>
        <w:adjustRightInd w:val="0"/>
        <w:rPr>
          <w:rFonts w:asciiTheme="minorHAnsi" w:eastAsia="Calibri" w:hAnsiTheme="minorHAnsi"/>
          <w:sz w:val="20"/>
          <w:szCs w:val="20"/>
        </w:rPr>
      </w:pPr>
      <w:r w:rsidRPr="00054CFA">
        <w:rPr>
          <w:rFonts w:asciiTheme="minorHAnsi" w:eastAsia="Calibri" w:hAnsiTheme="minorHAnsi"/>
          <w:sz w:val="20"/>
          <w:szCs w:val="20"/>
        </w:rPr>
        <w:t>Data Integrity: REDCap is jointly managed in accordance with OHSU Information Security Directives by ACC staff and members of OCTRI's Biomedical Informatics Program, ensuring fidelity of database configuration and back-ups.  User activities are logged to enable auditing of all data changes.</w:t>
      </w:r>
    </w:p>
    <w:p w14:paraId="38A3B859" w14:textId="77777777" w:rsidR="00E91C76" w:rsidRDefault="00E91C76" w:rsidP="00E91C76">
      <w:pPr>
        <w:autoSpaceDE w:val="0"/>
        <w:autoSpaceDN w:val="0"/>
        <w:adjustRightInd w:val="0"/>
        <w:rPr>
          <w:rFonts w:asciiTheme="minorHAnsi" w:eastAsia="Calibri" w:hAnsiTheme="minorHAnsi"/>
          <w:sz w:val="20"/>
          <w:szCs w:val="20"/>
        </w:rPr>
      </w:pPr>
    </w:p>
    <w:p w14:paraId="76630604" w14:textId="599DC8B4" w:rsidR="00E91C76" w:rsidRDefault="00E91C76" w:rsidP="00D013F9">
      <w:pPr>
        <w:autoSpaceDE w:val="0"/>
        <w:autoSpaceDN w:val="0"/>
        <w:rPr>
          <w:b/>
          <w:bCs/>
          <w:sz w:val="20"/>
          <w:szCs w:val="20"/>
          <w:u w:val="single"/>
        </w:rPr>
      </w:pPr>
      <w:r w:rsidRPr="00054CFA">
        <w:rPr>
          <w:rFonts w:asciiTheme="minorHAnsi" w:eastAsia="Calibri" w:hAnsiTheme="minorHAnsi"/>
          <w:b/>
          <w:sz w:val="20"/>
          <w:szCs w:val="20"/>
          <w:u w:val="single"/>
        </w:rPr>
        <w:t>Research Data Warehouse and Cohort Discovery:</w:t>
      </w:r>
      <w:r>
        <w:rPr>
          <w:rFonts w:asciiTheme="minorHAnsi" w:eastAsia="Calibri" w:hAnsiTheme="minorHAnsi"/>
          <w:sz w:val="20"/>
          <w:szCs w:val="20"/>
        </w:rPr>
        <w:t xml:space="preserve"> OCTRI’s Clinical Research Informatics program </w:t>
      </w:r>
      <w:r w:rsidRPr="00054CFA">
        <w:rPr>
          <w:rFonts w:asciiTheme="minorHAnsi" w:eastAsia="Calibri" w:hAnsiTheme="minorHAnsi"/>
          <w:sz w:val="20"/>
          <w:szCs w:val="20"/>
        </w:rPr>
        <w:t xml:space="preserve">maintains a repository called the Research Data Warehouse (RDW) containing OHSU's electronic health record (EHR) data (Epic), cancer registry data, and pathology data.  Through the RDW, researchers have access to </w:t>
      </w:r>
      <w:r w:rsidR="00C32CE6" w:rsidRPr="005344BA">
        <w:rPr>
          <w:rFonts w:asciiTheme="minorHAnsi" w:hAnsiTheme="minorHAnsi" w:cstheme="minorHAnsi"/>
          <w:sz w:val="20"/>
          <w:szCs w:val="20"/>
        </w:rPr>
        <w:t xml:space="preserve">Researchers have access to </w:t>
      </w:r>
      <w:proofErr w:type="gramStart"/>
      <w:r w:rsidR="00C32CE6" w:rsidRPr="005344BA">
        <w:rPr>
          <w:rFonts w:asciiTheme="minorHAnsi" w:hAnsiTheme="minorHAnsi" w:cstheme="minorHAnsi"/>
          <w:sz w:val="20"/>
          <w:szCs w:val="20"/>
        </w:rPr>
        <w:t>the health</w:t>
      </w:r>
      <w:proofErr w:type="gramEnd"/>
      <w:r w:rsidR="00C32CE6" w:rsidRPr="005344BA">
        <w:rPr>
          <w:rFonts w:asciiTheme="minorHAnsi" w:hAnsiTheme="minorHAnsi" w:cstheme="minorHAnsi"/>
          <w:sz w:val="20"/>
          <w:szCs w:val="20"/>
        </w:rPr>
        <w:t xml:space="preserve"> records of over 2.5 million patient records with 20 million patient encounter records and more than 40,000 data points.</w:t>
      </w:r>
      <w:r w:rsidRPr="00054CFA">
        <w:rPr>
          <w:rFonts w:asciiTheme="minorHAnsi" w:eastAsia="Calibri" w:hAnsiTheme="minorHAnsi"/>
          <w:sz w:val="20"/>
          <w:szCs w:val="20"/>
        </w:rPr>
        <w:t xml:space="preserve">  Researchers </w:t>
      </w:r>
      <w:r>
        <w:rPr>
          <w:rFonts w:asciiTheme="minorHAnsi" w:eastAsia="Calibri" w:hAnsiTheme="minorHAnsi"/>
          <w:sz w:val="20"/>
          <w:szCs w:val="20"/>
        </w:rPr>
        <w:t xml:space="preserve">may </w:t>
      </w:r>
      <w:r w:rsidRPr="00054CFA">
        <w:rPr>
          <w:rFonts w:asciiTheme="minorHAnsi" w:eastAsia="Calibri" w:hAnsiTheme="minorHAnsi"/>
          <w:sz w:val="20"/>
          <w:szCs w:val="20"/>
        </w:rPr>
        <w:t xml:space="preserve">access the RDW for preparatory to research purposes through Cohort Discovery, a self-service, web-based tool for obtaining counts of patients meeting investigator-specified inclusion and exclusion criteria.  For more complex queries during conduct of the project, investigators </w:t>
      </w:r>
      <w:r>
        <w:rPr>
          <w:rFonts w:asciiTheme="minorHAnsi" w:eastAsia="Calibri" w:hAnsiTheme="minorHAnsi"/>
          <w:sz w:val="20"/>
          <w:szCs w:val="20"/>
        </w:rPr>
        <w:t xml:space="preserve">may </w:t>
      </w:r>
      <w:r w:rsidRPr="00054CFA">
        <w:rPr>
          <w:rFonts w:asciiTheme="minorHAnsi" w:eastAsia="Calibri" w:hAnsiTheme="minorHAnsi"/>
          <w:sz w:val="20"/>
          <w:szCs w:val="20"/>
        </w:rPr>
        <w:t>work with hig</w:t>
      </w:r>
      <w:r>
        <w:rPr>
          <w:rFonts w:asciiTheme="minorHAnsi" w:eastAsia="Calibri" w:hAnsiTheme="minorHAnsi"/>
          <w:sz w:val="20"/>
          <w:szCs w:val="20"/>
        </w:rPr>
        <w:t>hly trained and experienced data analysts</w:t>
      </w:r>
      <w:r w:rsidRPr="00054CFA">
        <w:rPr>
          <w:rFonts w:asciiTheme="minorHAnsi" w:eastAsia="Calibri" w:hAnsiTheme="minorHAnsi"/>
          <w:sz w:val="20"/>
          <w:szCs w:val="20"/>
        </w:rPr>
        <w:t xml:space="preserve"> to navigate the complex clinical data.  The RDW can be used for a variety of research purposes including study feasibility, hypothesis generation, recruitment</w:t>
      </w:r>
      <w:r>
        <w:rPr>
          <w:rFonts w:asciiTheme="minorHAnsi" w:eastAsia="Calibri" w:hAnsiTheme="minorHAnsi"/>
          <w:sz w:val="20"/>
          <w:szCs w:val="20"/>
        </w:rPr>
        <w:t xml:space="preserve"> and</w:t>
      </w:r>
      <w:r w:rsidRPr="00054CFA">
        <w:rPr>
          <w:rFonts w:asciiTheme="minorHAnsi" w:eastAsia="Calibri" w:hAnsiTheme="minorHAnsi"/>
          <w:sz w:val="20"/>
          <w:szCs w:val="20"/>
        </w:rPr>
        <w:t xml:space="preserve"> retrospective chart review.</w:t>
      </w:r>
    </w:p>
    <w:p w14:paraId="0272B97F" w14:textId="77777777" w:rsidR="00DC57C2" w:rsidRDefault="00DC57C2" w:rsidP="00D013F9">
      <w:pPr>
        <w:autoSpaceDE w:val="0"/>
        <w:autoSpaceDN w:val="0"/>
        <w:rPr>
          <w:b/>
          <w:bCs/>
          <w:sz w:val="20"/>
          <w:szCs w:val="20"/>
          <w:u w:val="single"/>
        </w:rPr>
      </w:pPr>
    </w:p>
    <w:p w14:paraId="4E60ACB9" w14:textId="77777777" w:rsidR="00214227" w:rsidRPr="00214227" w:rsidRDefault="00214227" w:rsidP="006D2AD3">
      <w:pPr>
        <w:autoSpaceDE w:val="0"/>
        <w:autoSpaceDN w:val="0"/>
        <w:adjustRightInd w:val="0"/>
        <w:rPr>
          <w:rFonts w:asciiTheme="minorHAnsi" w:eastAsia="Calibri" w:hAnsiTheme="minorHAnsi"/>
          <w:sz w:val="20"/>
          <w:szCs w:val="20"/>
        </w:rPr>
      </w:pPr>
    </w:p>
    <w:p w14:paraId="6DCF1497" w14:textId="77777777" w:rsidR="00214227" w:rsidRPr="00B424B5" w:rsidRDefault="00214227" w:rsidP="00755F58">
      <w:pPr>
        <w:autoSpaceDE w:val="0"/>
        <w:autoSpaceDN w:val="0"/>
        <w:adjustRightInd w:val="0"/>
        <w:rPr>
          <w:rFonts w:asciiTheme="minorHAnsi" w:hAnsiTheme="minorHAnsi" w:cs="Arial"/>
          <w:iCs/>
          <w:color w:val="000000"/>
          <w:sz w:val="20"/>
          <w:szCs w:val="20"/>
        </w:rPr>
      </w:pPr>
    </w:p>
    <w:p w14:paraId="0B72E5DC" w14:textId="205FAEFA" w:rsidR="00054CFA" w:rsidRPr="00054CFA" w:rsidRDefault="00054CFA" w:rsidP="007C741C">
      <w:pPr>
        <w:autoSpaceDE w:val="0"/>
        <w:autoSpaceDN w:val="0"/>
        <w:adjustRightInd w:val="0"/>
        <w:rPr>
          <w:rFonts w:asciiTheme="minorHAnsi" w:eastAsia="Calibri" w:hAnsiTheme="minorHAnsi"/>
          <w:sz w:val="20"/>
          <w:szCs w:val="20"/>
        </w:rPr>
      </w:pPr>
    </w:p>
    <w:sectPr w:rsidR="00054CFA" w:rsidRPr="00054CFA" w:rsidSect="00755F58">
      <w:headerReference w:type="default" r:id="rId10"/>
      <w:footerReference w:type="default" r:id="rId11"/>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4AA5E" w14:textId="77777777" w:rsidR="00A71D30" w:rsidRDefault="00A71D30" w:rsidP="00A71D30">
      <w:r>
        <w:separator/>
      </w:r>
    </w:p>
  </w:endnote>
  <w:endnote w:type="continuationSeparator" w:id="0">
    <w:p w14:paraId="2E1E5EA0" w14:textId="77777777" w:rsidR="00A71D30" w:rsidRDefault="00A71D30" w:rsidP="00A7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BD1C" w14:textId="576A960B" w:rsidR="00A71D30" w:rsidRPr="009A6083" w:rsidRDefault="002342F8" w:rsidP="00A71D30">
    <w:pPr>
      <w:pStyle w:val="Footer"/>
      <w:jc w:val="right"/>
      <w:rPr>
        <w:rFonts w:ascii="Verdana" w:hAnsi="Verdana"/>
        <w:sz w:val="16"/>
        <w:szCs w:val="16"/>
      </w:rPr>
    </w:pPr>
    <w:r w:rsidRPr="009A6083">
      <w:rPr>
        <w:rFonts w:ascii="Verdana" w:hAnsi="Verdana"/>
        <w:sz w:val="16"/>
        <w:szCs w:val="16"/>
      </w:rPr>
      <w:t xml:space="preserve">Content </w:t>
    </w:r>
    <w:r w:rsidR="00A71D30" w:rsidRPr="009A6083">
      <w:rPr>
        <w:rFonts w:ascii="Verdana" w:hAnsi="Verdana"/>
        <w:sz w:val="16"/>
        <w:szCs w:val="16"/>
      </w:rPr>
      <w:t xml:space="preserve">Updated </w:t>
    </w:r>
    <w:r w:rsidR="007619F8" w:rsidRPr="009A6083">
      <w:rPr>
        <w:rFonts w:ascii="Verdana" w:hAnsi="Verdana"/>
        <w:sz w:val="16"/>
        <w:szCs w:val="16"/>
      </w:rPr>
      <w:t>03/25/2022</w:t>
    </w:r>
    <w:r w:rsidR="00F72237" w:rsidRPr="009A6083">
      <w:rPr>
        <w:rFonts w:ascii="Verdana" w:hAnsi="Verdana"/>
        <w:sz w:val="16"/>
        <w:szCs w:val="16"/>
      </w:rPr>
      <w:tab/>
    </w:r>
    <w:r w:rsidR="00F72237" w:rsidRPr="009A6083">
      <w:rPr>
        <w:rFonts w:ascii="Verdana" w:hAnsi="Verdana"/>
        <w:sz w:val="16"/>
        <w:szCs w:val="16"/>
      </w:rPr>
      <w:tab/>
    </w:r>
    <w:r w:rsidRPr="009A6083">
      <w:rPr>
        <w:rFonts w:ascii="Verdana" w:hAnsi="Verdana"/>
        <w:sz w:val="16"/>
        <w:szCs w:val="16"/>
      </w:rPr>
      <w:t>OCTRI Facilities v</w:t>
    </w:r>
    <w:r w:rsidR="007619F8" w:rsidRPr="009A6083">
      <w:rPr>
        <w:rFonts w:ascii="Verdana" w:hAnsi="Verdana"/>
        <w:sz w:val="16"/>
        <w:szCs w:val="16"/>
      </w:rPr>
      <w:t>7</w:t>
    </w:r>
    <w:r w:rsidR="00A71D30" w:rsidRPr="009A6083">
      <w:rPr>
        <w:rFonts w:ascii="Verdana" w:hAnsi="Verdana"/>
        <w:sz w:val="16"/>
        <w:szCs w:val="16"/>
      </w:rPr>
      <w:t>.doc</w:t>
    </w:r>
    <w:r w:rsidRPr="009A6083">
      <w:rPr>
        <w:rFonts w:ascii="Verdana" w:hAnsi="Verdana"/>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6857" w14:textId="77777777" w:rsidR="00A71D30" w:rsidRDefault="00A71D30" w:rsidP="00A71D30">
      <w:r>
        <w:separator/>
      </w:r>
    </w:p>
  </w:footnote>
  <w:footnote w:type="continuationSeparator" w:id="0">
    <w:p w14:paraId="23924BB5" w14:textId="77777777" w:rsidR="00A71D30" w:rsidRDefault="00A71D30" w:rsidP="00A71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A806" w14:textId="56B856BF" w:rsidR="00A71D30" w:rsidRPr="00054CFA" w:rsidRDefault="009A6083" w:rsidP="000A1A34">
    <w:pPr>
      <w:pStyle w:val="Header"/>
      <w:rPr>
        <w:rFonts w:ascii="Verdana" w:hAnsi="Verdana"/>
        <w:b/>
        <w:color w:val="000000" w:themeColor="text1"/>
        <w:sz w:val="18"/>
        <w:szCs w:val="18"/>
      </w:rPr>
    </w:pPr>
    <w:sdt>
      <w:sdtPr>
        <w:rPr>
          <w:rFonts w:ascii="Verdana" w:hAnsi="Verdana"/>
          <w:b/>
          <w:color w:val="000000" w:themeColor="text1"/>
          <w:sz w:val="18"/>
          <w:szCs w:val="18"/>
        </w:rPr>
        <w:id w:val="-1668705269"/>
        <w:docPartObj>
          <w:docPartGallery w:val="Watermarks"/>
          <w:docPartUnique/>
        </w:docPartObj>
      </w:sdtPr>
      <w:sdtEndPr/>
      <w:sdtContent>
        <w:r>
          <w:rPr>
            <w:rFonts w:ascii="Verdana" w:hAnsi="Verdana"/>
            <w:b/>
            <w:noProof/>
            <w:color w:val="000000" w:themeColor="text1"/>
            <w:sz w:val="18"/>
            <w:szCs w:val="18"/>
          </w:rPr>
          <w:pict w14:anchorId="7D920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F72237" w:rsidRPr="00054CFA">
      <w:rPr>
        <w:rFonts w:ascii="Verdana" w:hAnsi="Verdana"/>
        <w:b/>
        <w:color w:val="000000" w:themeColor="text1"/>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90E"/>
    <w:multiLevelType w:val="multilevel"/>
    <w:tmpl w:val="C89C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01011"/>
    <w:multiLevelType w:val="hybridMultilevel"/>
    <w:tmpl w:val="150E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A52A9"/>
    <w:multiLevelType w:val="hybridMultilevel"/>
    <w:tmpl w:val="3ACE5504"/>
    <w:lvl w:ilvl="0" w:tplc="192E69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30299"/>
    <w:multiLevelType w:val="multilevel"/>
    <w:tmpl w:val="B646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16DE9"/>
    <w:multiLevelType w:val="hybridMultilevel"/>
    <w:tmpl w:val="8FC6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C4C5E"/>
    <w:multiLevelType w:val="hybridMultilevel"/>
    <w:tmpl w:val="0B561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DC0F03"/>
    <w:multiLevelType w:val="hybridMultilevel"/>
    <w:tmpl w:val="4176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AF6CFF"/>
    <w:multiLevelType w:val="multilevel"/>
    <w:tmpl w:val="8EE8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2B7D69"/>
    <w:multiLevelType w:val="hybridMultilevel"/>
    <w:tmpl w:val="F800D1F8"/>
    <w:lvl w:ilvl="0" w:tplc="192E69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AE45DF"/>
    <w:multiLevelType w:val="multilevel"/>
    <w:tmpl w:val="6648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CC180C"/>
    <w:multiLevelType w:val="hybridMultilevel"/>
    <w:tmpl w:val="02CEEB4C"/>
    <w:lvl w:ilvl="0" w:tplc="01243F48">
      <w:numFmt w:val="bullet"/>
      <w:lvlText w:val="·"/>
      <w:lvlJc w:val="left"/>
      <w:pPr>
        <w:ind w:left="765" w:hanging="405"/>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7549D7"/>
    <w:multiLevelType w:val="multilevel"/>
    <w:tmpl w:val="DD4C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F93FDB"/>
    <w:multiLevelType w:val="multilevel"/>
    <w:tmpl w:val="E2FC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9D0227"/>
    <w:multiLevelType w:val="hybridMultilevel"/>
    <w:tmpl w:val="7304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3851996">
    <w:abstractNumId w:val="4"/>
  </w:num>
  <w:num w:numId="2" w16cid:durableId="937056793">
    <w:abstractNumId w:val="2"/>
  </w:num>
  <w:num w:numId="3" w16cid:durableId="1888178846">
    <w:abstractNumId w:val="8"/>
  </w:num>
  <w:num w:numId="4" w16cid:durableId="1655327865">
    <w:abstractNumId w:val="9"/>
  </w:num>
  <w:num w:numId="5" w16cid:durableId="1999724855">
    <w:abstractNumId w:val="11"/>
  </w:num>
  <w:num w:numId="6" w16cid:durableId="704598738">
    <w:abstractNumId w:val="12"/>
  </w:num>
  <w:num w:numId="7" w16cid:durableId="163253447">
    <w:abstractNumId w:val="3"/>
  </w:num>
  <w:num w:numId="8" w16cid:durableId="129783243">
    <w:abstractNumId w:val="0"/>
  </w:num>
  <w:num w:numId="9" w16cid:durableId="1810398505">
    <w:abstractNumId w:val="7"/>
  </w:num>
  <w:num w:numId="10" w16cid:durableId="1102384576">
    <w:abstractNumId w:val="1"/>
  </w:num>
  <w:num w:numId="11" w16cid:durableId="1307121695">
    <w:abstractNumId w:val="5"/>
  </w:num>
  <w:num w:numId="12" w16cid:durableId="971598175">
    <w:abstractNumId w:val="6"/>
  </w:num>
  <w:num w:numId="13" w16cid:durableId="1564095884">
    <w:abstractNumId w:val="10"/>
  </w:num>
  <w:num w:numId="14" w16cid:durableId="3896958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F58"/>
    <w:rsid w:val="00003E5E"/>
    <w:rsid w:val="00003EED"/>
    <w:rsid w:val="00041D07"/>
    <w:rsid w:val="00043C58"/>
    <w:rsid w:val="0005191D"/>
    <w:rsid w:val="00051B3D"/>
    <w:rsid w:val="000523BD"/>
    <w:rsid w:val="0005361C"/>
    <w:rsid w:val="00054353"/>
    <w:rsid w:val="00054CFA"/>
    <w:rsid w:val="00055B58"/>
    <w:rsid w:val="00061543"/>
    <w:rsid w:val="00074E11"/>
    <w:rsid w:val="00092C80"/>
    <w:rsid w:val="000A056D"/>
    <w:rsid w:val="000A1A34"/>
    <w:rsid w:val="000A40CE"/>
    <w:rsid w:val="000A72CC"/>
    <w:rsid w:val="000B4675"/>
    <w:rsid w:val="000C5DEE"/>
    <w:rsid w:val="00106A40"/>
    <w:rsid w:val="001076E5"/>
    <w:rsid w:val="001106B1"/>
    <w:rsid w:val="001168DD"/>
    <w:rsid w:val="00121CA0"/>
    <w:rsid w:val="00135F4E"/>
    <w:rsid w:val="001404E7"/>
    <w:rsid w:val="00141592"/>
    <w:rsid w:val="00142462"/>
    <w:rsid w:val="00143107"/>
    <w:rsid w:val="0014632D"/>
    <w:rsid w:val="001465ED"/>
    <w:rsid w:val="00147C0A"/>
    <w:rsid w:val="0015131A"/>
    <w:rsid w:val="00151EC9"/>
    <w:rsid w:val="0015231A"/>
    <w:rsid w:val="00152B4E"/>
    <w:rsid w:val="0015636E"/>
    <w:rsid w:val="00160128"/>
    <w:rsid w:val="001676B6"/>
    <w:rsid w:val="00174259"/>
    <w:rsid w:val="001746D4"/>
    <w:rsid w:val="00175191"/>
    <w:rsid w:val="00175497"/>
    <w:rsid w:val="00185E3F"/>
    <w:rsid w:val="00195773"/>
    <w:rsid w:val="001A37BA"/>
    <w:rsid w:val="001B6F8F"/>
    <w:rsid w:val="001C13D7"/>
    <w:rsid w:val="001D42DE"/>
    <w:rsid w:val="001D4331"/>
    <w:rsid w:val="001D57AE"/>
    <w:rsid w:val="001D63EA"/>
    <w:rsid w:val="001F5E84"/>
    <w:rsid w:val="002033F5"/>
    <w:rsid w:val="00203B79"/>
    <w:rsid w:val="00214227"/>
    <w:rsid w:val="0021750B"/>
    <w:rsid w:val="00224473"/>
    <w:rsid w:val="002317A0"/>
    <w:rsid w:val="00232D4B"/>
    <w:rsid w:val="002342F8"/>
    <w:rsid w:val="00234940"/>
    <w:rsid w:val="00234ED6"/>
    <w:rsid w:val="00236774"/>
    <w:rsid w:val="002644C1"/>
    <w:rsid w:val="002718AB"/>
    <w:rsid w:val="00275EF7"/>
    <w:rsid w:val="0029155A"/>
    <w:rsid w:val="00294A77"/>
    <w:rsid w:val="00295491"/>
    <w:rsid w:val="002A0216"/>
    <w:rsid w:val="002A3727"/>
    <w:rsid w:val="002B50EA"/>
    <w:rsid w:val="002B78BC"/>
    <w:rsid w:val="002C0A74"/>
    <w:rsid w:val="002D71D8"/>
    <w:rsid w:val="002E0ECC"/>
    <w:rsid w:val="002E680C"/>
    <w:rsid w:val="002E7787"/>
    <w:rsid w:val="002F1965"/>
    <w:rsid w:val="00301F22"/>
    <w:rsid w:val="00304C30"/>
    <w:rsid w:val="00305A23"/>
    <w:rsid w:val="00305F44"/>
    <w:rsid w:val="00311CE2"/>
    <w:rsid w:val="00314839"/>
    <w:rsid w:val="00314E9C"/>
    <w:rsid w:val="003307A6"/>
    <w:rsid w:val="0033641F"/>
    <w:rsid w:val="003542A7"/>
    <w:rsid w:val="00357005"/>
    <w:rsid w:val="003603EC"/>
    <w:rsid w:val="00361F6E"/>
    <w:rsid w:val="00366C92"/>
    <w:rsid w:val="00366D69"/>
    <w:rsid w:val="00367C4C"/>
    <w:rsid w:val="00370C74"/>
    <w:rsid w:val="00372AB5"/>
    <w:rsid w:val="00381AF1"/>
    <w:rsid w:val="003825A4"/>
    <w:rsid w:val="003A2010"/>
    <w:rsid w:val="003A2C26"/>
    <w:rsid w:val="003A5488"/>
    <w:rsid w:val="003B7241"/>
    <w:rsid w:val="003C55BC"/>
    <w:rsid w:val="003C5E1E"/>
    <w:rsid w:val="003C60DF"/>
    <w:rsid w:val="003C65DE"/>
    <w:rsid w:val="003D23E9"/>
    <w:rsid w:val="003D51AC"/>
    <w:rsid w:val="003D710C"/>
    <w:rsid w:val="003D7EDC"/>
    <w:rsid w:val="003F12BC"/>
    <w:rsid w:val="003F1743"/>
    <w:rsid w:val="003F769C"/>
    <w:rsid w:val="00402F9C"/>
    <w:rsid w:val="00403E33"/>
    <w:rsid w:val="004115F0"/>
    <w:rsid w:val="00415303"/>
    <w:rsid w:val="00420540"/>
    <w:rsid w:val="004278A5"/>
    <w:rsid w:val="00430460"/>
    <w:rsid w:val="004305F6"/>
    <w:rsid w:val="0043249F"/>
    <w:rsid w:val="004328BB"/>
    <w:rsid w:val="00435E7F"/>
    <w:rsid w:val="00436939"/>
    <w:rsid w:val="00443CB6"/>
    <w:rsid w:val="00446CAF"/>
    <w:rsid w:val="00452B3C"/>
    <w:rsid w:val="00457B3E"/>
    <w:rsid w:val="0046237E"/>
    <w:rsid w:val="00462F32"/>
    <w:rsid w:val="004661F0"/>
    <w:rsid w:val="0047363F"/>
    <w:rsid w:val="00476C7D"/>
    <w:rsid w:val="0047723D"/>
    <w:rsid w:val="00482A27"/>
    <w:rsid w:val="0048423D"/>
    <w:rsid w:val="00484F1E"/>
    <w:rsid w:val="004918E3"/>
    <w:rsid w:val="00497398"/>
    <w:rsid w:val="004A03DF"/>
    <w:rsid w:val="004A07D6"/>
    <w:rsid w:val="004B5709"/>
    <w:rsid w:val="004B78F1"/>
    <w:rsid w:val="004C2261"/>
    <w:rsid w:val="004C4752"/>
    <w:rsid w:val="004C6476"/>
    <w:rsid w:val="004D003A"/>
    <w:rsid w:val="004E39D6"/>
    <w:rsid w:val="004E40B1"/>
    <w:rsid w:val="004F162E"/>
    <w:rsid w:val="004F6265"/>
    <w:rsid w:val="004F6902"/>
    <w:rsid w:val="00507690"/>
    <w:rsid w:val="0053085D"/>
    <w:rsid w:val="00530A8F"/>
    <w:rsid w:val="00530BDB"/>
    <w:rsid w:val="005351C3"/>
    <w:rsid w:val="00543133"/>
    <w:rsid w:val="00554B92"/>
    <w:rsid w:val="00571BB8"/>
    <w:rsid w:val="005744FD"/>
    <w:rsid w:val="005764D9"/>
    <w:rsid w:val="005827C4"/>
    <w:rsid w:val="00584371"/>
    <w:rsid w:val="00590738"/>
    <w:rsid w:val="00591B8D"/>
    <w:rsid w:val="00596646"/>
    <w:rsid w:val="005A177D"/>
    <w:rsid w:val="005A1A9D"/>
    <w:rsid w:val="005A5427"/>
    <w:rsid w:val="005B11C5"/>
    <w:rsid w:val="005B3486"/>
    <w:rsid w:val="005B34DA"/>
    <w:rsid w:val="005B39E2"/>
    <w:rsid w:val="005B6A0A"/>
    <w:rsid w:val="005B6AA0"/>
    <w:rsid w:val="005C1D56"/>
    <w:rsid w:val="005C2A96"/>
    <w:rsid w:val="005C3052"/>
    <w:rsid w:val="005D0068"/>
    <w:rsid w:val="005E77EB"/>
    <w:rsid w:val="005F1115"/>
    <w:rsid w:val="005F14CE"/>
    <w:rsid w:val="005F626A"/>
    <w:rsid w:val="006064C9"/>
    <w:rsid w:val="00607E4E"/>
    <w:rsid w:val="006217CE"/>
    <w:rsid w:val="00622C33"/>
    <w:rsid w:val="00646CCD"/>
    <w:rsid w:val="006513D5"/>
    <w:rsid w:val="006524CD"/>
    <w:rsid w:val="00657112"/>
    <w:rsid w:val="0066412E"/>
    <w:rsid w:val="00672DFB"/>
    <w:rsid w:val="00672FE6"/>
    <w:rsid w:val="00693C2C"/>
    <w:rsid w:val="006B24E5"/>
    <w:rsid w:val="006B2971"/>
    <w:rsid w:val="006C7C1E"/>
    <w:rsid w:val="006D221A"/>
    <w:rsid w:val="006D2AD3"/>
    <w:rsid w:val="006D7282"/>
    <w:rsid w:val="006E733F"/>
    <w:rsid w:val="0070142B"/>
    <w:rsid w:val="00702525"/>
    <w:rsid w:val="00704E9C"/>
    <w:rsid w:val="007244C9"/>
    <w:rsid w:val="00726AEC"/>
    <w:rsid w:val="00727AA5"/>
    <w:rsid w:val="0074314E"/>
    <w:rsid w:val="0074378B"/>
    <w:rsid w:val="00750EAA"/>
    <w:rsid w:val="00755F58"/>
    <w:rsid w:val="0075778A"/>
    <w:rsid w:val="007619F8"/>
    <w:rsid w:val="00762AEC"/>
    <w:rsid w:val="007705C6"/>
    <w:rsid w:val="00772CAE"/>
    <w:rsid w:val="007810B8"/>
    <w:rsid w:val="0078325E"/>
    <w:rsid w:val="00785045"/>
    <w:rsid w:val="00787726"/>
    <w:rsid w:val="00791747"/>
    <w:rsid w:val="007A636A"/>
    <w:rsid w:val="007A77CB"/>
    <w:rsid w:val="007B398E"/>
    <w:rsid w:val="007C279C"/>
    <w:rsid w:val="007C2814"/>
    <w:rsid w:val="007C4D35"/>
    <w:rsid w:val="007C7209"/>
    <w:rsid w:val="007C741C"/>
    <w:rsid w:val="007E121A"/>
    <w:rsid w:val="007E2621"/>
    <w:rsid w:val="007E514B"/>
    <w:rsid w:val="007E750F"/>
    <w:rsid w:val="007F1AF8"/>
    <w:rsid w:val="0085341E"/>
    <w:rsid w:val="00855B9F"/>
    <w:rsid w:val="00864D5B"/>
    <w:rsid w:val="00865820"/>
    <w:rsid w:val="00870106"/>
    <w:rsid w:val="008717EB"/>
    <w:rsid w:val="00875FB9"/>
    <w:rsid w:val="00881437"/>
    <w:rsid w:val="00881F47"/>
    <w:rsid w:val="00883BB1"/>
    <w:rsid w:val="00883F6E"/>
    <w:rsid w:val="00895846"/>
    <w:rsid w:val="00895EC3"/>
    <w:rsid w:val="00896466"/>
    <w:rsid w:val="008A5C67"/>
    <w:rsid w:val="008B2CA9"/>
    <w:rsid w:val="008D0909"/>
    <w:rsid w:val="008D3634"/>
    <w:rsid w:val="008D6B0B"/>
    <w:rsid w:val="008E11B9"/>
    <w:rsid w:val="008E14F9"/>
    <w:rsid w:val="008F2B36"/>
    <w:rsid w:val="00904235"/>
    <w:rsid w:val="009100CC"/>
    <w:rsid w:val="009121A3"/>
    <w:rsid w:val="00913882"/>
    <w:rsid w:val="00914383"/>
    <w:rsid w:val="00916565"/>
    <w:rsid w:val="00916D10"/>
    <w:rsid w:val="00925DD9"/>
    <w:rsid w:val="00931351"/>
    <w:rsid w:val="00932285"/>
    <w:rsid w:val="00941033"/>
    <w:rsid w:val="00946957"/>
    <w:rsid w:val="00952A9E"/>
    <w:rsid w:val="0096710E"/>
    <w:rsid w:val="00987D35"/>
    <w:rsid w:val="00994B92"/>
    <w:rsid w:val="009963CA"/>
    <w:rsid w:val="009A008A"/>
    <w:rsid w:val="009A2B5D"/>
    <w:rsid w:val="009A3F64"/>
    <w:rsid w:val="009A4C47"/>
    <w:rsid w:val="009A4EBB"/>
    <w:rsid w:val="009A6083"/>
    <w:rsid w:val="009A7EB4"/>
    <w:rsid w:val="009B0B73"/>
    <w:rsid w:val="009B562F"/>
    <w:rsid w:val="009C5FD4"/>
    <w:rsid w:val="009E3DA4"/>
    <w:rsid w:val="009F18B4"/>
    <w:rsid w:val="009F33A4"/>
    <w:rsid w:val="009F440B"/>
    <w:rsid w:val="009F63C8"/>
    <w:rsid w:val="009F7CC4"/>
    <w:rsid w:val="00A10BC6"/>
    <w:rsid w:val="00A1710A"/>
    <w:rsid w:val="00A204DD"/>
    <w:rsid w:val="00A20A4F"/>
    <w:rsid w:val="00A21A78"/>
    <w:rsid w:val="00A26568"/>
    <w:rsid w:val="00A273F9"/>
    <w:rsid w:val="00A27C1F"/>
    <w:rsid w:val="00A31B39"/>
    <w:rsid w:val="00A376A5"/>
    <w:rsid w:val="00A41A57"/>
    <w:rsid w:val="00A42A2C"/>
    <w:rsid w:val="00A45766"/>
    <w:rsid w:val="00A51F88"/>
    <w:rsid w:val="00A60021"/>
    <w:rsid w:val="00A61BD0"/>
    <w:rsid w:val="00A6596D"/>
    <w:rsid w:val="00A66805"/>
    <w:rsid w:val="00A71D30"/>
    <w:rsid w:val="00A801EE"/>
    <w:rsid w:val="00A87F94"/>
    <w:rsid w:val="00A95762"/>
    <w:rsid w:val="00AA0F4B"/>
    <w:rsid w:val="00AA55E0"/>
    <w:rsid w:val="00AC286F"/>
    <w:rsid w:val="00AC4ECE"/>
    <w:rsid w:val="00AD267C"/>
    <w:rsid w:val="00AE2947"/>
    <w:rsid w:val="00AE6D45"/>
    <w:rsid w:val="00AF312F"/>
    <w:rsid w:val="00AF6187"/>
    <w:rsid w:val="00B07047"/>
    <w:rsid w:val="00B10A5E"/>
    <w:rsid w:val="00B10BC6"/>
    <w:rsid w:val="00B121D0"/>
    <w:rsid w:val="00B122E6"/>
    <w:rsid w:val="00B126F9"/>
    <w:rsid w:val="00B22800"/>
    <w:rsid w:val="00B33982"/>
    <w:rsid w:val="00B360CF"/>
    <w:rsid w:val="00B424B5"/>
    <w:rsid w:val="00B44FDB"/>
    <w:rsid w:val="00B473D4"/>
    <w:rsid w:val="00B47BAB"/>
    <w:rsid w:val="00B577D9"/>
    <w:rsid w:val="00B6380E"/>
    <w:rsid w:val="00B70424"/>
    <w:rsid w:val="00B7418A"/>
    <w:rsid w:val="00B83196"/>
    <w:rsid w:val="00B83754"/>
    <w:rsid w:val="00B86654"/>
    <w:rsid w:val="00BA1716"/>
    <w:rsid w:val="00BA7C27"/>
    <w:rsid w:val="00BB351B"/>
    <w:rsid w:val="00BC6F4B"/>
    <w:rsid w:val="00BE2C0E"/>
    <w:rsid w:val="00BE5DC4"/>
    <w:rsid w:val="00BE7AC2"/>
    <w:rsid w:val="00BF6E46"/>
    <w:rsid w:val="00C043A2"/>
    <w:rsid w:val="00C06139"/>
    <w:rsid w:val="00C12842"/>
    <w:rsid w:val="00C13489"/>
    <w:rsid w:val="00C30365"/>
    <w:rsid w:val="00C32CE6"/>
    <w:rsid w:val="00C34657"/>
    <w:rsid w:val="00C35A68"/>
    <w:rsid w:val="00C417BB"/>
    <w:rsid w:val="00C7305F"/>
    <w:rsid w:val="00C7524C"/>
    <w:rsid w:val="00C86FD2"/>
    <w:rsid w:val="00C954F4"/>
    <w:rsid w:val="00C977E5"/>
    <w:rsid w:val="00CA29A4"/>
    <w:rsid w:val="00CA6E6C"/>
    <w:rsid w:val="00CB1E51"/>
    <w:rsid w:val="00CC12AB"/>
    <w:rsid w:val="00CC37DC"/>
    <w:rsid w:val="00CC702B"/>
    <w:rsid w:val="00CD2212"/>
    <w:rsid w:val="00CD2C70"/>
    <w:rsid w:val="00CD7DE2"/>
    <w:rsid w:val="00CE7530"/>
    <w:rsid w:val="00CF22A5"/>
    <w:rsid w:val="00CF73F2"/>
    <w:rsid w:val="00D013F9"/>
    <w:rsid w:val="00D1273C"/>
    <w:rsid w:val="00D17CDB"/>
    <w:rsid w:val="00D343C2"/>
    <w:rsid w:val="00D40791"/>
    <w:rsid w:val="00D4267D"/>
    <w:rsid w:val="00D42D7F"/>
    <w:rsid w:val="00D42DB6"/>
    <w:rsid w:val="00D439E5"/>
    <w:rsid w:val="00D6191F"/>
    <w:rsid w:val="00D7603D"/>
    <w:rsid w:val="00D84F6E"/>
    <w:rsid w:val="00D96A74"/>
    <w:rsid w:val="00DA449C"/>
    <w:rsid w:val="00DA4E1A"/>
    <w:rsid w:val="00DA6BCF"/>
    <w:rsid w:val="00DB4293"/>
    <w:rsid w:val="00DC233A"/>
    <w:rsid w:val="00DC57C2"/>
    <w:rsid w:val="00DF6196"/>
    <w:rsid w:val="00E059FE"/>
    <w:rsid w:val="00E066DC"/>
    <w:rsid w:val="00E06FA9"/>
    <w:rsid w:val="00E11D39"/>
    <w:rsid w:val="00E20114"/>
    <w:rsid w:val="00E24012"/>
    <w:rsid w:val="00E260CE"/>
    <w:rsid w:val="00E335A3"/>
    <w:rsid w:val="00E371FE"/>
    <w:rsid w:val="00E37AF0"/>
    <w:rsid w:val="00E37B43"/>
    <w:rsid w:val="00E42C80"/>
    <w:rsid w:val="00E50488"/>
    <w:rsid w:val="00E52CA3"/>
    <w:rsid w:val="00E53460"/>
    <w:rsid w:val="00E63658"/>
    <w:rsid w:val="00E638BD"/>
    <w:rsid w:val="00E717CE"/>
    <w:rsid w:val="00E7359A"/>
    <w:rsid w:val="00E74210"/>
    <w:rsid w:val="00E74DE6"/>
    <w:rsid w:val="00E82D5B"/>
    <w:rsid w:val="00E84116"/>
    <w:rsid w:val="00E86A5E"/>
    <w:rsid w:val="00E873F8"/>
    <w:rsid w:val="00E8777F"/>
    <w:rsid w:val="00E91C76"/>
    <w:rsid w:val="00E93D2B"/>
    <w:rsid w:val="00EA37D5"/>
    <w:rsid w:val="00EC4E16"/>
    <w:rsid w:val="00ED0AA6"/>
    <w:rsid w:val="00ED62EE"/>
    <w:rsid w:val="00EE025B"/>
    <w:rsid w:val="00EE25AA"/>
    <w:rsid w:val="00EF00C3"/>
    <w:rsid w:val="00EF13AA"/>
    <w:rsid w:val="00EF1B41"/>
    <w:rsid w:val="00EF62F7"/>
    <w:rsid w:val="00EF711D"/>
    <w:rsid w:val="00EF7236"/>
    <w:rsid w:val="00F01C2B"/>
    <w:rsid w:val="00F05D44"/>
    <w:rsid w:val="00F10CD0"/>
    <w:rsid w:val="00F12293"/>
    <w:rsid w:val="00F128C7"/>
    <w:rsid w:val="00F143C4"/>
    <w:rsid w:val="00F33971"/>
    <w:rsid w:val="00F43397"/>
    <w:rsid w:val="00F50BB1"/>
    <w:rsid w:val="00F61B01"/>
    <w:rsid w:val="00F62074"/>
    <w:rsid w:val="00F67A37"/>
    <w:rsid w:val="00F71B03"/>
    <w:rsid w:val="00F72237"/>
    <w:rsid w:val="00F734CC"/>
    <w:rsid w:val="00F74BAD"/>
    <w:rsid w:val="00F76873"/>
    <w:rsid w:val="00F838B1"/>
    <w:rsid w:val="00FA03B4"/>
    <w:rsid w:val="00FB0E82"/>
    <w:rsid w:val="00FB2226"/>
    <w:rsid w:val="00FC25D3"/>
    <w:rsid w:val="00FC2984"/>
    <w:rsid w:val="00FC5570"/>
    <w:rsid w:val="00FC7C90"/>
    <w:rsid w:val="00FD09A3"/>
    <w:rsid w:val="00FE0547"/>
    <w:rsid w:val="00FF18FA"/>
    <w:rsid w:val="00FF4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C857902"/>
  <w15:docId w15:val="{2F0A6997-8FB8-45E8-BE73-1FCA9BA7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39"/>
    <w:rPr>
      <w:sz w:val="24"/>
      <w:szCs w:val="24"/>
    </w:rPr>
  </w:style>
  <w:style w:type="paragraph" w:styleId="Heading4">
    <w:name w:val="heading 4"/>
    <w:basedOn w:val="Normal"/>
    <w:next w:val="Normal"/>
    <w:link w:val="Heading4Char"/>
    <w:semiHidden/>
    <w:unhideWhenUsed/>
    <w:qFormat/>
    <w:locked/>
    <w:rsid w:val="00DA6BC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locked/>
    <w:rsid w:val="00DA6BCF"/>
    <w:pPr>
      <w:spacing w:before="120" w:after="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24C"/>
    <w:pPr>
      <w:ind w:left="720"/>
      <w:contextualSpacing/>
    </w:pPr>
  </w:style>
  <w:style w:type="character" w:customStyle="1" w:styleId="Heading5Char">
    <w:name w:val="Heading 5 Char"/>
    <w:basedOn w:val="DefaultParagraphFont"/>
    <w:link w:val="Heading5"/>
    <w:uiPriority w:val="9"/>
    <w:rsid w:val="00DA6BCF"/>
    <w:rPr>
      <w:b/>
      <w:bCs/>
      <w:sz w:val="24"/>
      <w:szCs w:val="24"/>
    </w:rPr>
  </w:style>
  <w:style w:type="paragraph" w:styleId="NormalWeb">
    <w:name w:val="Normal (Web)"/>
    <w:basedOn w:val="Normal"/>
    <w:uiPriority w:val="99"/>
    <w:semiHidden/>
    <w:unhideWhenUsed/>
    <w:rsid w:val="00DA6BCF"/>
    <w:pPr>
      <w:spacing w:before="120" w:after="240"/>
    </w:pPr>
  </w:style>
  <w:style w:type="character" w:customStyle="1" w:styleId="Heading4Char">
    <w:name w:val="Heading 4 Char"/>
    <w:basedOn w:val="DefaultParagraphFont"/>
    <w:link w:val="Heading4"/>
    <w:semiHidden/>
    <w:rsid w:val="00DA6BCF"/>
    <w:rPr>
      <w:rFonts w:asciiTheme="majorHAnsi" w:eastAsiaTheme="majorEastAsia" w:hAnsiTheme="majorHAnsi" w:cstheme="majorBidi"/>
      <w:b/>
      <w:bCs/>
      <w:i/>
      <w:iCs/>
      <w:color w:val="4F81BD" w:themeColor="accent1"/>
      <w:sz w:val="24"/>
      <w:szCs w:val="24"/>
    </w:rPr>
  </w:style>
  <w:style w:type="paragraph" w:styleId="Header">
    <w:name w:val="header"/>
    <w:basedOn w:val="Normal"/>
    <w:link w:val="HeaderChar"/>
    <w:uiPriority w:val="99"/>
    <w:unhideWhenUsed/>
    <w:rsid w:val="00A71D30"/>
    <w:pPr>
      <w:tabs>
        <w:tab w:val="center" w:pos="4680"/>
        <w:tab w:val="right" w:pos="9360"/>
      </w:tabs>
    </w:pPr>
  </w:style>
  <w:style w:type="character" w:customStyle="1" w:styleId="HeaderChar">
    <w:name w:val="Header Char"/>
    <w:basedOn w:val="DefaultParagraphFont"/>
    <w:link w:val="Header"/>
    <w:uiPriority w:val="99"/>
    <w:rsid w:val="00A71D30"/>
    <w:rPr>
      <w:sz w:val="24"/>
      <w:szCs w:val="24"/>
    </w:rPr>
  </w:style>
  <w:style w:type="paragraph" w:styleId="Footer">
    <w:name w:val="footer"/>
    <w:basedOn w:val="Normal"/>
    <w:link w:val="FooterChar"/>
    <w:uiPriority w:val="99"/>
    <w:unhideWhenUsed/>
    <w:rsid w:val="00A71D30"/>
    <w:pPr>
      <w:tabs>
        <w:tab w:val="center" w:pos="4680"/>
        <w:tab w:val="right" w:pos="9360"/>
      </w:tabs>
    </w:pPr>
  </w:style>
  <w:style w:type="character" w:customStyle="1" w:styleId="FooterChar">
    <w:name w:val="Footer Char"/>
    <w:basedOn w:val="DefaultParagraphFont"/>
    <w:link w:val="Footer"/>
    <w:uiPriority w:val="99"/>
    <w:rsid w:val="00A71D30"/>
    <w:rPr>
      <w:sz w:val="24"/>
      <w:szCs w:val="24"/>
    </w:rPr>
  </w:style>
  <w:style w:type="character" w:styleId="Hyperlink">
    <w:name w:val="Hyperlink"/>
    <w:basedOn w:val="DefaultParagraphFont"/>
    <w:uiPriority w:val="99"/>
    <w:unhideWhenUsed/>
    <w:rsid w:val="00F72237"/>
    <w:rPr>
      <w:color w:val="0000FF" w:themeColor="hyperlink"/>
      <w:u w:val="single"/>
    </w:rPr>
  </w:style>
  <w:style w:type="character" w:styleId="CommentReference">
    <w:name w:val="annotation reference"/>
    <w:basedOn w:val="DefaultParagraphFont"/>
    <w:uiPriority w:val="99"/>
    <w:semiHidden/>
    <w:unhideWhenUsed/>
    <w:rsid w:val="00003EED"/>
    <w:rPr>
      <w:sz w:val="16"/>
      <w:szCs w:val="16"/>
    </w:rPr>
  </w:style>
  <w:style w:type="paragraph" w:styleId="CommentText">
    <w:name w:val="annotation text"/>
    <w:basedOn w:val="Normal"/>
    <w:link w:val="CommentTextChar"/>
    <w:uiPriority w:val="99"/>
    <w:semiHidden/>
    <w:unhideWhenUsed/>
    <w:rsid w:val="00003EED"/>
    <w:rPr>
      <w:sz w:val="20"/>
      <w:szCs w:val="20"/>
    </w:rPr>
  </w:style>
  <w:style w:type="character" w:customStyle="1" w:styleId="CommentTextChar">
    <w:name w:val="Comment Text Char"/>
    <w:basedOn w:val="DefaultParagraphFont"/>
    <w:link w:val="CommentText"/>
    <w:uiPriority w:val="99"/>
    <w:semiHidden/>
    <w:rsid w:val="00003EED"/>
    <w:rPr>
      <w:sz w:val="20"/>
      <w:szCs w:val="20"/>
    </w:rPr>
  </w:style>
  <w:style w:type="paragraph" w:styleId="CommentSubject">
    <w:name w:val="annotation subject"/>
    <w:basedOn w:val="CommentText"/>
    <w:next w:val="CommentText"/>
    <w:link w:val="CommentSubjectChar"/>
    <w:uiPriority w:val="99"/>
    <w:semiHidden/>
    <w:unhideWhenUsed/>
    <w:rsid w:val="00003EED"/>
    <w:rPr>
      <w:b/>
      <w:bCs/>
    </w:rPr>
  </w:style>
  <w:style w:type="character" w:customStyle="1" w:styleId="CommentSubjectChar">
    <w:name w:val="Comment Subject Char"/>
    <w:basedOn w:val="CommentTextChar"/>
    <w:link w:val="CommentSubject"/>
    <w:uiPriority w:val="99"/>
    <w:semiHidden/>
    <w:rsid w:val="00003EED"/>
    <w:rPr>
      <w:b/>
      <w:bCs/>
      <w:sz w:val="20"/>
      <w:szCs w:val="20"/>
    </w:rPr>
  </w:style>
  <w:style w:type="paragraph" w:styleId="BalloonText">
    <w:name w:val="Balloon Text"/>
    <w:basedOn w:val="Normal"/>
    <w:link w:val="BalloonTextChar"/>
    <w:uiPriority w:val="99"/>
    <w:semiHidden/>
    <w:unhideWhenUsed/>
    <w:rsid w:val="00003EED"/>
    <w:rPr>
      <w:rFonts w:ascii="Tahoma" w:hAnsi="Tahoma" w:cs="Tahoma"/>
      <w:sz w:val="16"/>
      <w:szCs w:val="16"/>
    </w:rPr>
  </w:style>
  <w:style w:type="character" w:customStyle="1" w:styleId="BalloonTextChar">
    <w:name w:val="Balloon Text Char"/>
    <w:basedOn w:val="DefaultParagraphFont"/>
    <w:link w:val="BalloonText"/>
    <w:uiPriority w:val="99"/>
    <w:semiHidden/>
    <w:rsid w:val="00003EED"/>
    <w:rPr>
      <w:rFonts w:ascii="Tahoma" w:hAnsi="Tahoma" w:cs="Tahoma"/>
      <w:sz w:val="16"/>
      <w:szCs w:val="16"/>
    </w:rPr>
  </w:style>
  <w:style w:type="character" w:styleId="FollowedHyperlink">
    <w:name w:val="FollowedHyperlink"/>
    <w:basedOn w:val="DefaultParagraphFont"/>
    <w:uiPriority w:val="99"/>
    <w:semiHidden/>
    <w:unhideWhenUsed/>
    <w:rsid w:val="00054CFA"/>
    <w:rPr>
      <w:color w:val="800080" w:themeColor="followedHyperlink"/>
      <w:u w:val="single"/>
    </w:rPr>
  </w:style>
  <w:style w:type="paragraph" w:customStyle="1" w:styleId="OHSUletterbody">
    <w:name w:val="OHSU letter body"/>
    <w:rsid w:val="000A1A34"/>
    <w:pPr>
      <w:spacing w:after="240" w:line="280" w:lineRule="exact"/>
    </w:pPr>
    <w:rPr>
      <w:szCs w:val="24"/>
    </w:rPr>
  </w:style>
  <w:style w:type="character" w:styleId="UnresolvedMention">
    <w:name w:val="Unresolved Mention"/>
    <w:basedOn w:val="DefaultParagraphFont"/>
    <w:uiPriority w:val="99"/>
    <w:semiHidden/>
    <w:unhideWhenUsed/>
    <w:rsid w:val="007619F8"/>
    <w:rPr>
      <w:color w:val="605E5C"/>
      <w:shd w:val="clear" w:color="auto" w:fill="E1DFDD"/>
    </w:rPr>
  </w:style>
  <w:style w:type="paragraph" w:styleId="Revision">
    <w:name w:val="Revision"/>
    <w:hidden/>
    <w:uiPriority w:val="99"/>
    <w:semiHidden/>
    <w:rsid w:val="00C32C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43809">
      <w:bodyDiv w:val="1"/>
      <w:marLeft w:val="0"/>
      <w:marRight w:val="0"/>
      <w:marTop w:val="0"/>
      <w:marBottom w:val="0"/>
      <w:divBdr>
        <w:top w:val="none" w:sz="0" w:space="0" w:color="auto"/>
        <w:left w:val="none" w:sz="0" w:space="0" w:color="auto"/>
        <w:bottom w:val="none" w:sz="0" w:space="0" w:color="auto"/>
        <w:right w:val="none" w:sz="0" w:space="0" w:color="auto"/>
      </w:divBdr>
    </w:div>
    <w:div w:id="1029718965">
      <w:bodyDiv w:val="1"/>
      <w:marLeft w:val="0"/>
      <w:marRight w:val="0"/>
      <w:marTop w:val="0"/>
      <w:marBottom w:val="0"/>
      <w:divBdr>
        <w:top w:val="none" w:sz="0" w:space="0" w:color="auto"/>
        <w:left w:val="none" w:sz="0" w:space="0" w:color="auto"/>
        <w:bottom w:val="none" w:sz="0" w:space="0" w:color="auto"/>
        <w:right w:val="none" w:sz="0" w:space="0" w:color="auto"/>
      </w:divBdr>
      <w:divsChild>
        <w:div w:id="2109344897">
          <w:marLeft w:val="0"/>
          <w:marRight w:val="0"/>
          <w:marTop w:val="0"/>
          <w:marBottom w:val="0"/>
          <w:divBdr>
            <w:top w:val="none" w:sz="0" w:space="0" w:color="auto"/>
            <w:left w:val="none" w:sz="0" w:space="0" w:color="auto"/>
            <w:bottom w:val="none" w:sz="0" w:space="0" w:color="auto"/>
            <w:right w:val="none" w:sz="0" w:space="0" w:color="auto"/>
          </w:divBdr>
          <w:divsChild>
            <w:div w:id="1434746568">
              <w:marLeft w:val="1730"/>
              <w:marRight w:val="0"/>
              <w:marTop w:val="0"/>
              <w:marBottom w:val="0"/>
              <w:divBdr>
                <w:top w:val="none" w:sz="0" w:space="0" w:color="auto"/>
                <w:left w:val="none" w:sz="0" w:space="0" w:color="auto"/>
                <w:bottom w:val="none" w:sz="0" w:space="0" w:color="auto"/>
                <w:right w:val="none" w:sz="0" w:space="0" w:color="auto"/>
              </w:divBdr>
              <w:divsChild>
                <w:div w:id="257567272">
                  <w:marLeft w:val="0"/>
                  <w:marRight w:val="0"/>
                  <w:marTop w:val="0"/>
                  <w:marBottom w:val="0"/>
                  <w:divBdr>
                    <w:top w:val="single" w:sz="4" w:space="0" w:color="D2D3D2"/>
                    <w:left w:val="none" w:sz="0" w:space="0" w:color="auto"/>
                    <w:bottom w:val="none" w:sz="0" w:space="0" w:color="auto"/>
                    <w:right w:val="none" w:sz="0" w:space="0" w:color="auto"/>
                  </w:divBdr>
                  <w:divsChild>
                    <w:div w:id="87681682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07229425">
      <w:bodyDiv w:val="1"/>
      <w:marLeft w:val="0"/>
      <w:marRight w:val="0"/>
      <w:marTop w:val="0"/>
      <w:marBottom w:val="0"/>
      <w:divBdr>
        <w:top w:val="none" w:sz="0" w:space="0" w:color="auto"/>
        <w:left w:val="none" w:sz="0" w:space="0" w:color="auto"/>
        <w:bottom w:val="none" w:sz="0" w:space="0" w:color="auto"/>
        <w:right w:val="none" w:sz="0" w:space="0" w:color="auto"/>
      </w:divBdr>
    </w:div>
    <w:div w:id="1992054327">
      <w:bodyDiv w:val="1"/>
      <w:marLeft w:val="0"/>
      <w:marRight w:val="0"/>
      <w:marTop w:val="0"/>
      <w:marBottom w:val="0"/>
      <w:divBdr>
        <w:top w:val="none" w:sz="0" w:space="0" w:color="auto"/>
        <w:left w:val="none" w:sz="0" w:space="0" w:color="auto"/>
        <w:bottom w:val="none" w:sz="0" w:space="0" w:color="auto"/>
        <w:right w:val="none" w:sz="0" w:space="0" w:color="auto"/>
      </w:divBdr>
      <w:divsChild>
        <w:div w:id="1859075399">
          <w:marLeft w:val="0"/>
          <w:marRight w:val="0"/>
          <w:marTop w:val="0"/>
          <w:marBottom w:val="0"/>
          <w:divBdr>
            <w:top w:val="none" w:sz="0" w:space="0" w:color="auto"/>
            <w:left w:val="none" w:sz="0" w:space="0" w:color="auto"/>
            <w:bottom w:val="none" w:sz="0" w:space="0" w:color="auto"/>
            <w:right w:val="none" w:sz="0" w:space="0" w:color="auto"/>
          </w:divBdr>
          <w:divsChild>
            <w:div w:id="2104063184">
              <w:marLeft w:val="1730"/>
              <w:marRight w:val="0"/>
              <w:marTop w:val="0"/>
              <w:marBottom w:val="0"/>
              <w:divBdr>
                <w:top w:val="none" w:sz="0" w:space="0" w:color="auto"/>
                <w:left w:val="none" w:sz="0" w:space="0" w:color="auto"/>
                <w:bottom w:val="none" w:sz="0" w:space="0" w:color="auto"/>
                <w:right w:val="none" w:sz="0" w:space="0" w:color="auto"/>
              </w:divBdr>
              <w:divsChild>
                <w:div w:id="1641765731">
                  <w:marLeft w:val="0"/>
                  <w:marRight w:val="0"/>
                  <w:marTop w:val="0"/>
                  <w:marBottom w:val="0"/>
                  <w:divBdr>
                    <w:top w:val="single" w:sz="4" w:space="0" w:color="D2D3D2"/>
                    <w:left w:val="none" w:sz="0" w:space="0" w:color="auto"/>
                    <w:bottom w:val="none" w:sz="0" w:space="0" w:color="auto"/>
                    <w:right w:val="none" w:sz="0" w:space="0" w:color="auto"/>
                  </w:divBdr>
                </w:div>
              </w:divsChild>
            </w:div>
          </w:divsChild>
        </w:div>
      </w:divsChild>
    </w:div>
    <w:div w:id="2134710785">
      <w:bodyDiv w:val="1"/>
      <w:marLeft w:val="0"/>
      <w:marRight w:val="0"/>
      <w:marTop w:val="0"/>
      <w:marBottom w:val="0"/>
      <w:divBdr>
        <w:top w:val="none" w:sz="0" w:space="0" w:color="auto"/>
        <w:left w:val="none" w:sz="0" w:space="0" w:color="auto"/>
        <w:bottom w:val="none" w:sz="0" w:space="0" w:color="auto"/>
        <w:right w:val="none" w:sz="0" w:space="0" w:color="auto"/>
      </w:divBdr>
      <w:divsChild>
        <w:div w:id="1706708210">
          <w:marLeft w:val="0"/>
          <w:marRight w:val="0"/>
          <w:marTop w:val="0"/>
          <w:marBottom w:val="0"/>
          <w:divBdr>
            <w:top w:val="none" w:sz="0" w:space="0" w:color="auto"/>
            <w:left w:val="none" w:sz="0" w:space="0" w:color="auto"/>
            <w:bottom w:val="none" w:sz="0" w:space="0" w:color="auto"/>
            <w:right w:val="none" w:sz="0" w:space="0" w:color="auto"/>
          </w:divBdr>
          <w:divsChild>
            <w:div w:id="1444379145">
              <w:marLeft w:val="1730"/>
              <w:marRight w:val="0"/>
              <w:marTop w:val="0"/>
              <w:marBottom w:val="0"/>
              <w:divBdr>
                <w:top w:val="none" w:sz="0" w:space="0" w:color="auto"/>
                <w:left w:val="none" w:sz="0" w:space="0" w:color="auto"/>
                <w:bottom w:val="none" w:sz="0" w:space="0" w:color="auto"/>
                <w:right w:val="none" w:sz="0" w:space="0" w:color="auto"/>
              </w:divBdr>
              <w:divsChild>
                <w:div w:id="1208033374">
                  <w:marLeft w:val="0"/>
                  <w:marRight w:val="0"/>
                  <w:marTop w:val="0"/>
                  <w:marBottom w:val="0"/>
                  <w:divBdr>
                    <w:top w:val="single" w:sz="4" w:space="0" w:color="D2D3D2"/>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ctri@ohs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it.ly/2dHjMR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CFAF6-F3F6-47F3-8BE8-76DFC5EEE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1450</Words>
  <Characters>8989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Resources at Oregon Health &amp; Sciences University</vt:lpstr>
    </vt:vector>
  </TitlesOfParts>
  <Company>Oregon State University</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Resources at Oregon Health &amp; Sciences University</dc:title>
  <dc:subject/>
  <dc:creator>Mary Garrard</dc:creator>
  <cp:keywords/>
  <dc:description/>
  <cp:lastModifiedBy>Kitt Swartz</cp:lastModifiedBy>
  <cp:revision>4</cp:revision>
  <dcterms:created xsi:type="dcterms:W3CDTF">2022-03-25T23:04:00Z</dcterms:created>
  <dcterms:modified xsi:type="dcterms:W3CDTF">2026-02-17T23:56:00Z</dcterms:modified>
</cp:coreProperties>
</file>