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47B0" w14:textId="77777777" w:rsidR="00012170" w:rsidRPr="007B4F5F" w:rsidRDefault="00012170" w:rsidP="00BD6E16">
      <w:pPr>
        <w:rPr>
          <w:b/>
        </w:rPr>
      </w:pPr>
      <w:r w:rsidRPr="007B4F5F">
        <w:rPr>
          <w:b/>
        </w:rPr>
        <w:t>Policy Number:</w:t>
      </w:r>
      <w:r w:rsidR="00F85EAF" w:rsidRPr="007B4F5F">
        <w:rPr>
          <w:b/>
        </w:rPr>
        <w:t xml:space="preserve"> </w:t>
      </w:r>
      <w:r w:rsidR="00F35F1F" w:rsidRPr="007B4F5F">
        <w:rPr>
          <w:b/>
        </w:rPr>
        <w:t>GME 18</w:t>
      </w:r>
    </w:p>
    <w:p w14:paraId="0B462FAD" w14:textId="77777777" w:rsidR="007D3163" w:rsidRPr="007B4F5F" w:rsidRDefault="00012170" w:rsidP="00BD6E16">
      <w:pPr>
        <w:pStyle w:val="NoSpacing"/>
        <w:rPr>
          <w:b/>
        </w:rPr>
      </w:pPr>
      <w:r w:rsidRPr="007B4F5F">
        <w:rPr>
          <w:b/>
        </w:rPr>
        <w:t>Policy Title:</w:t>
      </w:r>
      <w:r w:rsidR="00134525" w:rsidRPr="007B4F5F">
        <w:rPr>
          <w:b/>
        </w:rPr>
        <w:t xml:space="preserve"> </w:t>
      </w:r>
      <w:r w:rsidR="00F35F1F" w:rsidRPr="007B4F5F">
        <w:rPr>
          <w:b/>
        </w:rPr>
        <w:t xml:space="preserve">Moonlighting Policy </w:t>
      </w:r>
    </w:p>
    <w:p w14:paraId="672A6659" w14:textId="77777777" w:rsidR="007D3163" w:rsidRDefault="007D3163" w:rsidP="00BD6E16">
      <w:pPr>
        <w:pStyle w:val="NoSpacing"/>
      </w:pPr>
    </w:p>
    <w:p w14:paraId="722DB39F" w14:textId="77777777" w:rsidR="00BD6E16" w:rsidRDefault="00BD6E16" w:rsidP="00BD6E16">
      <w:pPr>
        <w:pStyle w:val="NoSpacing"/>
        <w:rPr>
          <w:b/>
        </w:rPr>
      </w:pPr>
      <w:r>
        <w:rPr>
          <w:b/>
        </w:rPr>
        <w:t>Policy Statement</w:t>
      </w:r>
      <w:r w:rsidR="00012170">
        <w:rPr>
          <w:b/>
        </w:rPr>
        <w:t>:</w:t>
      </w:r>
    </w:p>
    <w:p w14:paraId="0A37501D" w14:textId="77777777" w:rsidR="00933257" w:rsidRPr="00BD6E16" w:rsidRDefault="00933257" w:rsidP="00BD6E16">
      <w:pPr>
        <w:pStyle w:val="NoSpacing"/>
        <w:rPr>
          <w:b/>
        </w:rPr>
      </w:pPr>
    </w:p>
    <w:p w14:paraId="5DAB6C7B" w14:textId="77777777" w:rsidR="00F35F1F" w:rsidRDefault="00F35F1F" w:rsidP="00F35F1F">
      <w:pPr>
        <w:pStyle w:val="NoSpacing"/>
      </w:pPr>
    </w:p>
    <w:p w14:paraId="5E3BFADD" w14:textId="5DD29743" w:rsidR="00EC6C14" w:rsidRDefault="02D5D0BF" w:rsidP="00F35F1F">
      <w:pPr>
        <w:pStyle w:val="NoSpacing"/>
      </w:pPr>
      <w:r>
        <w:t>1. ACGME Institutional and Common Program Requirements:</w:t>
      </w:r>
    </w:p>
    <w:p w14:paraId="6AD4A138" w14:textId="1463F9DB" w:rsidR="00EC6C14" w:rsidRDefault="7667976C" w:rsidP="009336E2">
      <w:pPr>
        <w:pStyle w:val="NoSpacing"/>
        <w:numPr>
          <w:ilvl w:val="0"/>
          <w:numId w:val="21"/>
        </w:numPr>
      </w:pPr>
      <w:r>
        <w:t xml:space="preserve">Residents/fellows cannot be required to engage in moonlighting. </w:t>
      </w:r>
    </w:p>
    <w:p w14:paraId="0D136AFC" w14:textId="77777777" w:rsidR="009336E2" w:rsidRDefault="009336E2" w:rsidP="009336E2">
      <w:pPr>
        <w:pStyle w:val="NoSpacing"/>
        <w:numPr>
          <w:ilvl w:val="0"/>
          <w:numId w:val="21"/>
        </w:numPr>
      </w:pPr>
      <w:r>
        <w:t>Residents/fellows must have written permission from their program director to moonlight</w:t>
      </w:r>
    </w:p>
    <w:p w14:paraId="1189F053" w14:textId="5D8F51BA" w:rsidR="009336E2" w:rsidRDefault="02D5D0BF" w:rsidP="02D5D0BF">
      <w:pPr>
        <w:pStyle w:val="NoSpacing"/>
        <w:numPr>
          <w:ilvl w:val="0"/>
          <w:numId w:val="21"/>
        </w:numPr>
        <w:rPr>
          <w:strike/>
        </w:rPr>
      </w:pPr>
      <w:r>
        <w:t>The training program will monitor the effect of moonlighting activities on a resident’s/fellow’s performance in the program, including that adverse effects may lead to withdrawal of permission to moonlight</w:t>
      </w:r>
    </w:p>
    <w:p w14:paraId="2A2CD971" w14:textId="77777777" w:rsidR="0051226C" w:rsidRDefault="02D5D0BF" w:rsidP="0051226C">
      <w:pPr>
        <w:pStyle w:val="NoSpacing"/>
        <w:numPr>
          <w:ilvl w:val="0"/>
          <w:numId w:val="21"/>
        </w:numPr>
        <w:rPr>
          <w:strike/>
        </w:rPr>
      </w:pPr>
      <w:r w:rsidRPr="02D5D0BF">
        <w:t>Moonlighting must not interfere with the ability of the resident</w:t>
      </w:r>
      <w:r w:rsidR="00C7289A">
        <w:t>/fellow</w:t>
      </w:r>
      <w:r w:rsidRPr="02D5D0BF">
        <w:t xml:space="preserve"> to achieve the goals and objectives of the educational program, and must not interfere with the resident’s</w:t>
      </w:r>
      <w:r w:rsidR="00C7289A">
        <w:t>/fellow’s</w:t>
      </w:r>
      <w:r w:rsidRPr="02D5D0BF">
        <w:t xml:space="preserve"> fitness for work nor compromise patient safety.</w:t>
      </w:r>
    </w:p>
    <w:p w14:paraId="14267F51" w14:textId="281E36E6" w:rsidR="4FB68E4B" w:rsidRPr="0051226C" w:rsidRDefault="4FB68E4B" w:rsidP="0051226C">
      <w:pPr>
        <w:pStyle w:val="NoSpacing"/>
        <w:numPr>
          <w:ilvl w:val="0"/>
          <w:numId w:val="21"/>
        </w:numPr>
        <w:rPr>
          <w:strike/>
        </w:rPr>
      </w:pPr>
      <w:r>
        <w:t>Time spent by residents</w:t>
      </w:r>
      <w:r w:rsidR="00C7289A">
        <w:t>/fellows</w:t>
      </w:r>
      <w:r>
        <w:t xml:space="preserve"> in internal and external moonlighting must be counted toward the 80-hour maximum weekly limit</w:t>
      </w:r>
    </w:p>
    <w:p w14:paraId="692000EC" w14:textId="4A90D245" w:rsidR="009336E2" w:rsidRDefault="02D5D0BF" w:rsidP="009336E2">
      <w:pPr>
        <w:pStyle w:val="NoSpacing"/>
        <w:numPr>
          <w:ilvl w:val="0"/>
          <w:numId w:val="21"/>
        </w:numPr>
      </w:pPr>
      <w:r>
        <w:t>The Sponsoring Institution or individual programs may prohibit moonlighting by its residents/fellows.</w:t>
      </w:r>
    </w:p>
    <w:p w14:paraId="02EB378F" w14:textId="77777777" w:rsidR="00F35F1F" w:rsidRDefault="00F35F1F" w:rsidP="00F35F1F">
      <w:pPr>
        <w:pStyle w:val="NoSpacing"/>
      </w:pPr>
    </w:p>
    <w:p w14:paraId="5B3A3FBF" w14:textId="77777777" w:rsidR="009336E2" w:rsidRDefault="009336E2" w:rsidP="009336E2">
      <w:pPr>
        <w:pStyle w:val="NoSpacing"/>
      </w:pPr>
      <w:r>
        <w:t>2</w:t>
      </w:r>
      <w:r w:rsidR="00F35F1F">
        <w:t xml:space="preserve">. </w:t>
      </w:r>
      <w:r>
        <w:t>OHSU Institutional Requirements:</w:t>
      </w:r>
    </w:p>
    <w:p w14:paraId="747BA932" w14:textId="01B285B6" w:rsidR="009336E2" w:rsidRDefault="02D5D0BF" w:rsidP="00F35F1F">
      <w:pPr>
        <w:pStyle w:val="NoSpacing"/>
        <w:numPr>
          <w:ilvl w:val="0"/>
          <w:numId w:val="20"/>
        </w:numPr>
      </w:pPr>
      <w:r>
        <w:t>Moonlighting Hours must be entered into the MedHub work hours’ log.</w:t>
      </w:r>
    </w:p>
    <w:p w14:paraId="2A4FA8F5" w14:textId="7C01B996" w:rsidR="009336E2" w:rsidRDefault="02D5D0BF" w:rsidP="00F35F1F">
      <w:pPr>
        <w:pStyle w:val="NoSpacing"/>
        <w:numPr>
          <w:ilvl w:val="0"/>
          <w:numId w:val="20"/>
        </w:numPr>
      </w:pPr>
      <w:r>
        <w:t>Resident/Fellow must have an Unlimited License from the Oregon Medical Board regardless of where they moonlight, including OHSU.</w:t>
      </w:r>
    </w:p>
    <w:p w14:paraId="6D233DBC" w14:textId="70FDF859" w:rsidR="009336E2" w:rsidRDefault="02D5D0BF" w:rsidP="009336E2">
      <w:pPr>
        <w:pStyle w:val="NoSpacing"/>
        <w:numPr>
          <w:ilvl w:val="0"/>
          <w:numId w:val="20"/>
        </w:numPr>
      </w:pPr>
      <w:r>
        <w:t>If moonlighting at OHSU, they must complete an OHSU Moonlighting Agreement prior to moonlighting.</w:t>
      </w:r>
    </w:p>
    <w:p w14:paraId="329BECBF" w14:textId="77777777" w:rsidR="009336E2" w:rsidRDefault="00F35F1F" w:rsidP="00F35F1F">
      <w:pPr>
        <w:pStyle w:val="NoSpacing"/>
        <w:numPr>
          <w:ilvl w:val="0"/>
          <w:numId w:val="20"/>
        </w:numPr>
      </w:pPr>
      <w:r>
        <w:t>Due to Medicare regulations</w:t>
      </w:r>
      <w:r w:rsidR="009336E2">
        <w:t>,</w:t>
      </w:r>
      <w:r>
        <w:t xml:space="preserve"> Resident/Fellows may moonlight and bill for services at OHSU outside </w:t>
      </w:r>
      <w:r w:rsidR="00F84C49">
        <w:t xml:space="preserve">of </w:t>
      </w:r>
      <w:r>
        <w:t>their GME specialty program only in ambulatory care settings or the Emergency Department. They may moonlight in inpatient settings outside</w:t>
      </w:r>
      <w:r w:rsidR="00F84C49">
        <w:t xml:space="preserve"> of</w:t>
      </w:r>
      <w:r>
        <w:t xml:space="preserve"> their GME specialty program, but may not bill for their services, and teaching ph</w:t>
      </w:r>
      <w:r w:rsidR="009336E2">
        <w:t>ysician billing must not occur.</w:t>
      </w:r>
    </w:p>
    <w:p w14:paraId="320A527F" w14:textId="33BB68F4" w:rsidR="00F35F1F" w:rsidRDefault="00F35F1F" w:rsidP="00F35F1F">
      <w:pPr>
        <w:pStyle w:val="NoSpacing"/>
        <w:numPr>
          <w:ilvl w:val="0"/>
          <w:numId w:val="20"/>
        </w:numPr>
      </w:pPr>
      <w:r>
        <w:t>Resident</w:t>
      </w:r>
      <w:r w:rsidR="00C7289A">
        <w:t>s’</w:t>
      </w:r>
      <w:r>
        <w:t>/fellows’ moonlighting activities must not be included in MedHub schedules.</w:t>
      </w:r>
    </w:p>
    <w:p w14:paraId="3D3411BF" w14:textId="7D39FD62" w:rsidR="009336E2" w:rsidRDefault="009336E2" w:rsidP="00F35F1F">
      <w:pPr>
        <w:pStyle w:val="NoSpacing"/>
        <w:numPr>
          <w:ilvl w:val="0"/>
          <w:numId w:val="20"/>
        </w:numPr>
      </w:pPr>
      <w:r>
        <w:t>Internal Moonlighting is defined as moonlighting within a resident</w:t>
      </w:r>
      <w:r w:rsidR="00C7289A">
        <w:t>’s</w:t>
      </w:r>
      <w:r>
        <w:t>/fellow’s program’s normal activities. For internal moonlighting, a resident/fellow must have an Unlimited License, be supervised, and must not bill for patient care services. Teaching physician billing must not occur.</w:t>
      </w:r>
    </w:p>
    <w:p w14:paraId="6A05A809" w14:textId="77777777" w:rsidR="00F35F1F" w:rsidRDefault="00F35F1F" w:rsidP="00F35F1F">
      <w:pPr>
        <w:pStyle w:val="NoSpacing"/>
      </w:pPr>
    </w:p>
    <w:p w14:paraId="21126C88" w14:textId="77777777" w:rsidR="009336E2" w:rsidRDefault="009336E2" w:rsidP="00F35F1F">
      <w:pPr>
        <w:pStyle w:val="NoSpacing"/>
      </w:pPr>
      <w:r>
        <w:t>3. Moonlighting Outside of OHSU</w:t>
      </w:r>
    </w:p>
    <w:p w14:paraId="36B81908" w14:textId="77777777" w:rsidR="009336E2" w:rsidRDefault="00F35F1F" w:rsidP="00F35F1F">
      <w:pPr>
        <w:pStyle w:val="NoSpacing"/>
        <w:numPr>
          <w:ilvl w:val="0"/>
          <w:numId w:val="22"/>
        </w:numPr>
      </w:pPr>
      <w:r>
        <w:t xml:space="preserve">Arrangements with non-OHSU facilities for moonlighting will be made between the Resident/Fellow and the facility. OHSU is not a party to these agreements. </w:t>
      </w:r>
    </w:p>
    <w:p w14:paraId="78FDA34E" w14:textId="6F3ADAA3" w:rsidR="00F35F1F" w:rsidRDefault="009336E2" w:rsidP="00CB206B">
      <w:pPr>
        <w:pStyle w:val="NoSpacing"/>
        <w:numPr>
          <w:ilvl w:val="0"/>
          <w:numId w:val="22"/>
        </w:numPr>
      </w:pPr>
      <w:r>
        <w:t>Resident</w:t>
      </w:r>
      <w:r w:rsidR="00C7289A">
        <w:t>s</w:t>
      </w:r>
      <w:r>
        <w:t>/Fellows m</w:t>
      </w:r>
      <w:r w:rsidR="00F35F1F">
        <w:t>ust have their own malpractice insurance coverage</w:t>
      </w:r>
      <w:r>
        <w:t xml:space="preserve"> and </w:t>
      </w:r>
      <w:r w:rsidR="00F35F1F">
        <w:t xml:space="preserve">be credentialed by the agency with whom they have contracted. </w:t>
      </w:r>
    </w:p>
    <w:p w14:paraId="5A39BBE3" w14:textId="77777777" w:rsidR="00F35F1F" w:rsidRDefault="00F35F1F" w:rsidP="00F35F1F">
      <w:pPr>
        <w:pStyle w:val="NoSpacing"/>
      </w:pPr>
      <w:bookmarkStart w:id="0" w:name="_GoBack"/>
      <w:bookmarkEnd w:id="0"/>
    </w:p>
    <w:p w14:paraId="41C8F396" w14:textId="77777777" w:rsidR="00F35F1F" w:rsidRPr="007B4F5F" w:rsidRDefault="00F35F1F" w:rsidP="00F35F1F">
      <w:pPr>
        <w:pStyle w:val="NoSpacing"/>
        <w:rPr>
          <w:b/>
        </w:rPr>
      </w:pPr>
    </w:p>
    <w:p w14:paraId="30FE10BE" w14:textId="77777777" w:rsidR="00933257" w:rsidRPr="007B4F5F" w:rsidRDefault="00933257" w:rsidP="00933257">
      <w:pPr>
        <w:pStyle w:val="NoSpacing"/>
        <w:rPr>
          <w:b/>
        </w:rPr>
      </w:pPr>
      <w:r w:rsidRPr="007B4F5F">
        <w:rPr>
          <w:b/>
          <w:u w:val="single"/>
        </w:rPr>
        <w:t>Policy Owner:</w:t>
      </w:r>
      <w:r w:rsidRPr="007B4F5F">
        <w:rPr>
          <w:b/>
        </w:rPr>
        <w:t xml:space="preserve"> Graduate Medical Education Committee</w:t>
      </w:r>
    </w:p>
    <w:p w14:paraId="72A3D3EC" w14:textId="77777777" w:rsidR="00933257" w:rsidRPr="007B4F5F" w:rsidRDefault="00933257" w:rsidP="00933257">
      <w:pPr>
        <w:pStyle w:val="NoSpacing"/>
        <w:rPr>
          <w:b/>
        </w:rPr>
      </w:pPr>
    </w:p>
    <w:p w14:paraId="66D155FA" w14:textId="77777777" w:rsidR="008E37BF" w:rsidRPr="007B4F5F" w:rsidRDefault="008E37BF" w:rsidP="008923C2">
      <w:pPr>
        <w:pStyle w:val="NoSpacing"/>
        <w:rPr>
          <w:b/>
        </w:rPr>
      </w:pPr>
      <w:r w:rsidRPr="007B4F5F">
        <w:rPr>
          <w:b/>
          <w:u w:val="single"/>
        </w:rPr>
        <w:t>Amendment/Approving Committee</w:t>
      </w:r>
      <w:r w:rsidR="00F85EAF" w:rsidRPr="007B4F5F">
        <w:rPr>
          <w:b/>
          <w:u w:val="single"/>
        </w:rPr>
        <w:t xml:space="preserve">: </w:t>
      </w:r>
      <w:r w:rsidR="00F85EAF" w:rsidRPr="007B4F5F">
        <w:rPr>
          <w:b/>
        </w:rPr>
        <w:t xml:space="preserve">Graduate Medical Education Committee </w:t>
      </w:r>
    </w:p>
    <w:p w14:paraId="0D0B940D" w14:textId="77777777" w:rsidR="008E37BF" w:rsidRDefault="008E37BF" w:rsidP="008923C2">
      <w:pPr>
        <w:pStyle w:val="NoSpacing"/>
      </w:pPr>
    </w:p>
    <w:p w14:paraId="0E27B00A" w14:textId="77777777" w:rsidR="008E37BF" w:rsidRDefault="008E37BF" w:rsidP="008923C2">
      <w:pPr>
        <w:pStyle w:val="NoSpacing"/>
      </w:pPr>
    </w:p>
    <w:p w14:paraId="7A926D91" w14:textId="77777777" w:rsidR="008923C2" w:rsidRDefault="008923C2" w:rsidP="008923C2">
      <w:pPr>
        <w:pStyle w:val="NoSpacing"/>
        <w:rPr>
          <w:b/>
        </w:rPr>
      </w:pPr>
      <w:r w:rsidRPr="008923C2">
        <w:rPr>
          <w:b/>
        </w:rPr>
        <w:t>Additional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4255"/>
        <w:gridCol w:w="3106"/>
      </w:tblGrid>
      <w:tr w:rsidR="008923C2" w:rsidRPr="00012170" w14:paraId="0FF0637E" w14:textId="77777777" w:rsidTr="00012170">
        <w:tc>
          <w:tcPr>
            <w:tcW w:w="1998" w:type="dxa"/>
          </w:tcPr>
          <w:p w14:paraId="400A2113" w14:textId="77777777" w:rsidR="008923C2" w:rsidRPr="00012170" w:rsidRDefault="008923C2" w:rsidP="00012170">
            <w:pPr>
              <w:pStyle w:val="NoSpacing"/>
              <w:jc w:val="center"/>
              <w:rPr>
                <w:b/>
              </w:rPr>
            </w:pPr>
            <w:r w:rsidRPr="00012170">
              <w:rPr>
                <w:b/>
              </w:rPr>
              <w:t>Form/Document</w:t>
            </w:r>
          </w:p>
        </w:tc>
        <w:tc>
          <w:tcPr>
            <w:tcW w:w="4386" w:type="dxa"/>
          </w:tcPr>
          <w:p w14:paraId="69A9204E" w14:textId="77777777" w:rsidR="008923C2" w:rsidRPr="00012170" w:rsidRDefault="008923C2" w:rsidP="00012170">
            <w:pPr>
              <w:pStyle w:val="NoSpacing"/>
              <w:jc w:val="center"/>
              <w:rPr>
                <w:b/>
              </w:rPr>
            </w:pPr>
            <w:r w:rsidRPr="00012170">
              <w:rPr>
                <w:b/>
              </w:rPr>
              <w:t>Use</w:t>
            </w:r>
          </w:p>
        </w:tc>
        <w:tc>
          <w:tcPr>
            <w:tcW w:w="3192" w:type="dxa"/>
          </w:tcPr>
          <w:p w14:paraId="7D40C647" w14:textId="77777777" w:rsidR="008923C2" w:rsidRPr="00012170" w:rsidRDefault="008923C2" w:rsidP="00012170">
            <w:pPr>
              <w:pStyle w:val="NoSpacing"/>
              <w:jc w:val="center"/>
              <w:rPr>
                <w:b/>
              </w:rPr>
            </w:pPr>
            <w:r w:rsidRPr="00012170">
              <w:rPr>
                <w:b/>
              </w:rPr>
              <w:t>Links</w:t>
            </w:r>
          </w:p>
        </w:tc>
      </w:tr>
      <w:tr w:rsidR="008923C2" w:rsidRPr="00E26831" w14:paraId="60061E4C" w14:textId="77777777" w:rsidTr="00012170">
        <w:tc>
          <w:tcPr>
            <w:tcW w:w="1998" w:type="dxa"/>
          </w:tcPr>
          <w:p w14:paraId="44EAFD9C" w14:textId="77777777" w:rsidR="008923C2" w:rsidRPr="00E26831" w:rsidRDefault="008923C2" w:rsidP="008923C2">
            <w:pPr>
              <w:pStyle w:val="NoSpacing"/>
            </w:pPr>
          </w:p>
        </w:tc>
        <w:tc>
          <w:tcPr>
            <w:tcW w:w="4386" w:type="dxa"/>
          </w:tcPr>
          <w:p w14:paraId="4B94D5A5" w14:textId="77777777" w:rsidR="00243184" w:rsidRPr="00E26831" w:rsidRDefault="00243184" w:rsidP="008923C2">
            <w:pPr>
              <w:pStyle w:val="NoSpacing"/>
            </w:pPr>
          </w:p>
        </w:tc>
        <w:tc>
          <w:tcPr>
            <w:tcW w:w="3192" w:type="dxa"/>
          </w:tcPr>
          <w:p w14:paraId="3DEEC669" w14:textId="77777777" w:rsidR="008923C2" w:rsidRPr="00E26831" w:rsidRDefault="008923C2" w:rsidP="008923C2">
            <w:pPr>
              <w:pStyle w:val="NoSpacing"/>
            </w:pPr>
          </w:p>
        </w:tc>
      </w:tr>
      <w:tr w:rsidR="008F0F72" w:rsidRPr="00E26831" w14:paraId="3656B9AB" w14:textId="77777777" w:rsidTr="00012170">
        <w:tc>
          <w:tcPr>
            <w:tcW w:w="1998" w:type="dxa"/>
          </w:tcPr>
          <w:p w14:paraId="45FB0818" w14:textId="77777777" w:rsidR="008F0F72" w:rsidRPr="00E26831" w:rsidRDefault="008F0F72" w:rsidP="00855C33">
            <w:pPr>
              <w:pStyle w:val="NoSpacing"/>
            </w:pPr>
          </w:p>
        </w:tc>
        <w:tc>
          <w:tcPr>
            <w:tcW w:w="4386" w:type="dxa"/>
          </w:tcPr>
          <w:p w14:paraId="049F31CB" w14:textId="77777777" w:rsidR="008F0F72" w:rsidRPr="00E26831" w:rsidRDefault="008F0F72" w:rsidP="00855C33">
            <w:pPr>
              <w:pStyle w:val="NoSpacing"/>
            </w:pPr>
          </w:p>
        </w:tc>
        <w:tc>
          <w:tcPr>
            <w:tcW w:w="3192" w:type="dxa"/>
          </w:tcPr>
          <w:p w14:paraId="53128261" w14:textId="77777777" w:rsidR="008F0F72" w:rsidRPr="00E26831" w:rsidRDefault="008F0F72" w:rsidP="00855C33">
            <w:pPr>
              <w:pStyle w:val="NoSpacing"/>
            </w:pPr>
          </w:p>
        </w:tc>
      </w:tr>
      <w:tr w:rsidR="008923C2" w:rsidRPr="00E26831" w14:paraId="62486C05" w14:textId="77777777" w:rsidTr="00012170">
        <w:tc>
          <w:tcPr>
            <w:tcW w:w="1998" w:type="dxa"/>
          </w:tcPr>
          <w:p w14:paraId="4101652C" w14:textId="77777777" w:rsidR="008923C2" w:rsidRPr="00E26831" w:rsidRDefault="008923C2" w:rsidP="008923C2">
            <w:pPr>
              <w:pStyle w:val="NoSpacing"/>
            </w:pPr>
          </w:p>
        </w:tc>
        <w:tc>
          <w:tcPr>
            <w:tcW w:w="4386" w:type="dxa"/>
          </w:tcPr>
          <w:p w14:paraId="4B99056E" w14:textId="77777777" w:rsidR="008923C2" w:rsidRPr="00E26831" w:rsidRDefault="008923C2" w:rsidP="008923C2">
            <w:pPr>
              <w:pStyle w:val="NoSpacing"/>
            </w:pPr>
          </w:p>
        </w:tc>
        <w:tc>
          <w:tcPr>
            <w:tcW w:w="3192" w:type="dxa"/>
          </w:tcPr>
          <w:p w14:paraId="1299C43A" w14:textId="77777777" w:rsidR="008923C2" w:rsidRPr="00E26831" w:rsidRDefault="008923C2" w:rsidP="008923C2">
            <w:pPr>
              <w:pStyle w:val="NoSpacing"/>
            </w:pPr>
          </w:p>
        </w:tc>
      </w:tr>
    </w:tbl>
    <w:p w14:paraId="4DDBEF00" w14:textId="77777777" w:rsidR="008E37BF" w:rsidRDefault="008E37BF" w:rsidP="008E37BF">
      <w:pPr>
        <w:pStyle w:val="NoSpacing"/>
        <w:rPr>
          <w:b/>
        </w:rPr>
      </w:pPr>
    </w:p>
    <w:p w14:paraId="5237D6AD" w14:textId="77777777" w:rsidR="008E37BF" w:rsidRPr="00BD6E16" w:rsidRDefault="008E37BF" w:rsidP="008E37BF">
      <w:pPr>
        <w:pStyle w:val="NoSpacing"/>
        <w:rPr>
          <w:b/>
        </w:rPr>
      </w:pPr>
      <w:r>
        <w:rPr>
          <w:b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515"/>
        <w:gridCol w:w="2797"/>
        <w:gridCol w:w="3087"/>
      </w:tblGrid>
      <w:tr w:rsidR="008E37BF" w:rsidRPr="00BD6E16" w14:paraId="7DE9BB64" w14:textId="77777777" w:rsidTr="7667976C">
        <w:tc>
          <w:tcPr>
            <w:tcW w:w="1998" w:type="dxa"/>
          </w:tcPr>
          <w:p w14:paraId="6B814A1E" w14:textId="77777777" w:rsidR="008E37BF" w:rsidRPr="00BD6E16" w:rsidRDefault="008E37BF" w:rsidP="00CF6298">
            <w:pPr>
              <w:tabs>
                <w:tab w:val="left" w:pos="200"/>
                <w:tab w:val="center" w:pos="1089"/>
              </w:tabs>
              <w:jc w:val="center"/>
              <w:rPr>
                <w:b/>
              </w:rPr>
            </w:pPr>
            <w:r w:rsidRPr="00BD6E16">
              <w:rPr>
                <w:b/>
              </w:rPr>
              <w:t>Version</w:t>
            </w:r>
          </w:p>
        </w:tc>
        <w:tc>
          <w:tcPr>
            <w:tcW w:w="1530" w:type="dxa"/>
          </w:tcPr>
          <w:p w14:paraId="43C58A28" w14:textId="77777777" w:rsidR="008E37BF" w:rsidRPr="00BD6E16" w:rsidRDefault="008E37BF" w:rsidP="00CF6298">
            <w:pPr>
              <w:jc w:val="center"/>
              <w:rPr>
                <w:b/>
              </w:rPr>
            </w:pPr>
            <w:r w:rsidRPr="00BD6E16">
              <w:rPr>
                <w:b/>
              </w:rPr>
              <w:t>Effective Date</w:t>
            </w:r>
          </w:p>
        </w:tc>
        <w:tc>
          <w:tcPr>
            <w:tcW w:w="2880" w:type="dxa"/>
          </w:tcPr>
          <w:p w14:paraId="1C7DF0E4" w14:textId="77777777" w:rsidR="008E37BF" w:rsidRPr="00BD6E16" w:rsidRDefault="008E37BF" w:rsidP="00CF6298">
            <w:pPr>
              <w:jc w:val="center"/>
              <w:rPr>
                <w:b/>
              </w:rPr>
            </w:pPr>
            <w:r w:rsidRPr="00BD6E16">
              <w:rPr>
                <w:b/>
              </w:rPr>
              <w:t>Author</w:t>
            </w:r>
          </w:p>
        </w:tc>
        <w:tc>
          <w:tcPr>
            <w:tcW w:w="3168" w:type="dxa"/>
          </w:tcPr>
          <w:p w14:paraId="0834B37B" w14:textId="77777777" w:rsidR="008E37BF" w:rsidRPr="00BD6E16" w:rsidRDefault="008E37BF" w:rsidP="00CF6298">
            <w:pPr>
              <w:jc w:val="center"/>
              <w:rPr>
                <w:b/>
              </w:rPr>
            </w:pPr>
            <w:r w:rsidRPr="00BD6E16">
              <w:rPr>
                <w:b/>
              </w:rPr>
              <w:t>Description of Change</w:t>
            </w:r>
          </w:p>
        </w:tc>
      </w:tr>
      <w:tr w:rsidR="008E37BF" w14:paraId="474A525F" w14:textId="77777777" w:rsidTr="7667976C">
        <w:tc>
          <w:tcPr>
            <w:tcW w:w="1998" w:type="dxa"/>
          </w:tcPr>
          <w:p w14:paraId="649841BE" w14:textId="77777777" w:rsidR="008E37BF" w:rsidRDefault="00F85EAF" w:rsidP="00CF6298">
            <w:r>
              <w:t>1</w:t>
            </w:r>
          </w:p>
        </w:tc>
        <w:tc>
          <w:tcPr>
            <w:tcW w:w="1530" w:type="dxa"/>
          </w:tcPr>
          <w:p w14:paraId="44BDC52C" w14:textId="77777777" w:rsidR="008E37BF" w:rsidRDefault="00F35F1F" w:rsidP="00F35F1F">
            <w:r>
              <w:t>4</w:t>
            </w:r>
            <w:r w:rsidR="00933257">
              <w:t>/2</w:t>
            </w:r>
            <w:r>
              <w:t>2</w:t>
            </w:r>
            <w:r w:rsidR="00933257">
              <w:t>/201</w:t>
            </w:r>
            <w:r>
              <w:t>0</w:t>
            </w:r>
          </w:p>
        </w:tc>
        <w:tc>
          <w:tcPr>
            <w:tcW w:w="2880" w:type="dxa"/>
          </w:tcPr>
          <w:p w14:paraId="3461D779" w14:textId="46E29788" w:rsidR="008E37BF" w:rsidRDefault="008E37BF" w:rsidP="00CF6298"/>
        </w:tc>
        <w:tc>
          <w:tcPr>
            <w:tcW w:w="3168" w:type="dxa"/>
          </w:tcPr>
          <w:p w14:paraId="5B4AC98B" w14:textId="77777777" w:rsidR="008E37BF" w:rsidRDefault="00F85EAF" w:rsidP="00CF6298">
            <w:r>
              <w:t>Original</w:t>
            </w:r>
          </w:p>
        </w:tc>
      </w:tr>
      <w:tr w:rsidR="008E37BF" w14:paraId="3CF2D8B6" w14:textId="77777777" w:rsidTr="7667976C">
        <w:tc>
          <w:tcPr>
            <w:tcW w:w="1998" w:type="dxa"/>
          </w:tcPr>
          <w:p w14:paraId="0FB78278" w14:textId="6C5F96A0" w:rsidR="008E37BF" w:rsidRDefault="7667976C" w:rsidP="00CF6298">
            <w:r>
              <w:t>2</w:t>
            </w:r>
          </w:p>
        </w:tc>
        <w:tc>
          <w:tcPr>
            <w:tcW w:w="1530" w:type="dxa"/>
          </w:tcPr>
          <w:p w14:paraId="1FC39945" w14:textId="73547EEE" w:rsidR="008E37BF" w:rsidRDefault="00C54F18" w:rsidP="7667976C">
            <w:r>
              <w:t>8/15/2019</w:t>
            </w:r>
          </w:p>
        </w:tc>
        <w:tc>
          <w:tcPr>
            <w:tcW w:w="2880" w:type="dxa"/>
          </w:tcPr>
          <w:p w14:paraId="0562CB0E" w14:textId="43EE8074" w:rsidR="008E37BF" w:rsidRDefault="7667976C" w:rsidP="00CF6298">
            <w:r>
              <w:t>Emily Baird, Daniel Tu, Thomas Phillips</w:t>
            </w:r>
          </w:p>
        </w:tc>
        <w:tc>
          <w:tcPr>
            <w:tcW w:w="3168" w:type="dxa"/>
          </w:tcPr>
          <w:p w14:paraId="34CE0A41" w14:textId="24E54941" w:rsidR="008E37BF" w:rsidRDefault="00C54F18" w:rsidP="00CF6298">
            <w:r>
              <w:t>Revision</w:t>
            </w:r>
          </w:p>
        </w:tc>
      </w:tr>
    </w:tbl>
    <w:p w14:paraId="62EBF3C5" w14:textId="77777777" w:rsidR="008923C2" w:rsidRDefault="008923C2" w:rsidP="008923C2">
      <w:pPr>
        <w:pStyle w:val="NoSpacing"/>
        <w:rPr>
          <w:b/>
        </w:rPr>
      </w:pPr>
    </w:p>
    <w:p w14:paraId="6D98A12B" w14:textId="77777777" w:rsidR="00E26831" w:rsidRDefault="00E26831" w:rsidP="008923C2">
      <w:pPr>
        <w:pStyle w:val="NoSpacing"/>
        <w:rPr>
          <w:b/>
        </w:rPr>
      </w:pPr>
    </w:p>
    <w:p w14:paraId="2946DB82" w14:textId="77777777" w:rsidR="008E37BF" w:rsidRPr="008923C2" w:rsidRDefault="008E37BF">
      <w:pPr>
        <w:pStyle w:val="NoSpacing"/>
        <w:rPr>
          <w:b/>
        </w:rPr>
      </w:pPr>
    </w:p>
    <w:sectPr w:rsidR="008E37BF" w:rsidRPr="008923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B6FE6F3" w16cid:durableId="706DF0D4"/>
  <w16cid:commentId w16cid:paraId="37BDEA10" w16cid:durableId="096FC9FB"/>
  <w16cid:commentId w16cid:paraId="6FF72141" w16cid:durableId="52BABF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FD37" w14:textId="77777777" w:rsidR="009E5D1E" w:rsidRDefault="009E5D1E" w:rsidP="00232532">
      <w:pPr>
        <w:spacing w:after="0" w:line="240" w:lineRule="auto"/>
      </w:pPr>
      <w:r>
        <w:separator/>
      </w:r>
    </w:p>
  </w:endnote>
  <w:endnote w:type="continuationSeparator" w:id="0">
    <w:p w14:paraId="6B699379" w14:textId="77777777" w:rsidR="009E5D1E" w:rsidRDefault="009E5D1E" w:rsidP="0023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9F23F" w14:textId="77777777" w:rsidR="009E5D1E" w:rsidRDefault="009E5D1E" w:rsidP="00232532">
      <w:pPr>
        <w:spacing w:after="0" w:line="240" w:lineRule="auto"/>
      </w:pPr>
      <w:r>
        <w:separator/>
      </w:r>
    </w:p>
  </w:footnote>
  <w:footnote w:type="continuationSeparator" w:id="0">
    <w:p w14:paraId="1F72F646" w14:textId="77777777" w:rsidR="009E5D1E" w:rsidRDefault="009E5D1E" w:rsidP="0023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232532" w:rsidRDefault="00232532">
    <w:pPr>
      <w:pStyle w:val="Header"/>
    </w:pPr>
  </w:p>
  <w:p w14:paraId="44A129DD" w14:textId="77777777" w:rsidR="00B37282" w:rsidRPr="00B37282" w:rsidRDefault="00012170" w:rsidP="00B37282">
    <w:pPr>
      <w:pStyle w:val="CM3"/>
      <w:spacing w:after="0"/>
      <w:jc w:val="center"/>
      <w:rPr>
        <w:sz w:val="18"/>
        <w:szCs w:val="18"/>
      </w:rPr>
    </w:pPr>
    <w:r w:rsidRPr="00012170">
      <w:rPr>
        <w:rFonts w:ascii="Noto Serif" w:hAnsi="Noto Serif"/>
        <w:b/>
        <w:noProof/>
        <w:color w:val="141313"/>
        <w:sz w:val="20"/>
        <w:szCs w:val="20"/>
      </w:rPr>
      <w:drawing>
        <wp:anchor distT="0" distB="0" distL="114300" distR="114300" simplePos="0" relativeHeight="251657216" behindDoc="0" locked="1" layoutInCell="1" allowOverlap="0" wp14:anchorId="7CEC6E3C" wp14:editId="154E00BE">
          <wp:simplePos x="0" y="0"/>
          <wp:positionH relativeFrom="column">
            <wp:posOffset>19050</wp:posOffset>
          </wp:positionH>
          <wp:positionV relativeFrom="paragraph">
            <wp:posOffset>-513715</wp:posOffset>
          </wp:positionV>
          <wp:extent cx="419100" cy="71691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SU-4C-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170">
      <w:rPr>
        <w:b/>
        <w:sz w:val="21"/>
        <w:szCs w:val="21"/>
      </w:rPr>
      <w:t>School of Medicine Polic</w:t>
    </w:r>
    <w:r w:rsidR="00B37282">
      <w:rPr>
        <w:b/>
        <w:sz w:val="21"/>
        <w:szCs w:val="21"/>
      </w:rPr>
      <w:t>y</w:t>
    </w:r>
  </w:p>
  <w:p w14:paraId="2A195B8F" w14:textId="77777777" w:rsidR="0084006A" w:rsidRPr="0084006A" w:rsidRDefault="00B37282" w:rsidP="0084006A">
    <w:pPr>
      <w:pStyle w:val="CM3"/>
      <w:spacing w:after="0"/>
      <w:jc w:val="right"/>
      <w:rPr>
        <w:sz w:val="18"/>
        <w:szCs w:val="18"/>
      </w:rPr>
    </w:pPr>
    <w:r w:rsidRPr="00B37282">
      <w:rPr>
        <w:sz w:val="18"/>
        <w:szCs w:val="18"/>
      </w:rPr>
      <w:t>Policy Number:</w:t>
    </w:r>
    <w:r w:rsidR="00F35F1F">
      <w:rPr>
        <w:sz w:val="18"/>
        <w:szCs w:val="18"/>
      </w:rPr>
      <w:t xml:space="preserve"> GME 18</w:t>
    </w:r>
  </w:p>
  <w:p w14:paraId="111E78EA" w14:textId="3FCC363A" w:rsidR="007D3163" w:rsidRPr="007D3163" w:rsidRDefault="00B37282" w:rsidP="00F35F1F">
    <w:pPr>
      <w:pStyle w:val="CM3"/>
      <w:spacing w:after="0"/>
      <w:jc w:val="right"/>
      <w:rPr>
        <w:sz w:val="18"/>
        <w:szCs w:val="18"/>
      </w:rPr>
    </w:pPr>
    <w:r w:rsidRPr="00B37282">
      <w:rPr>
        <w:sz w:val="18"/>
        <w:szCs w:val="18"/>
      </w:rPr>
      <w:t>Effective Date:</w:t>
    </w:r>
    <w:r w:rsidR="00F35F1F">
      <w:rPr>
        <w:sz w:val="18"/>
        <w:szCs w:val="18"/>
      </w:rPr>
      <w:t xml:space="preserve"> </w:t>
    </w:r>
    <w:r w:rsidR="00C54F18">
      <w:rPr>
        <w:sz w:val="18"/>
        <w:szCs w:val="18"/>
      </w:rPr>
      <w:t>8/15/2019</w:t>
    </w:r>
    <w:r w:rsidR="00134525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37B"/>
    <w:multiLevelType w:val="hybridMultilevel"/>
    <w:tmpl w:val="5CF0DF78"/>
    <w:lvl w:ilvl="0" w:tplc="E75E9F8C">
      <w:start w:val="4"/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27A06"/>
    <w:multiLevelType w:val="hybridMultilevel"/>
    <w:tmpl w:val="1D2C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3B29"/>
    <w:multiLevelType w:val="hybridMultilevel"/>
    <w:tmpl w:val="85F456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437481F"/>
    <w:multiLevelType w:val="hybridMultilevel"/>
    <w:tmpl w:val="10AC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4574"/>
    <w:multiLevelType w:val="hybridMultilevel"/>
    <w:tmpl w:val="5B26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06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B72E9"/>
    <w:multiLevelType w:val="hybridMultilevel"/>
    <w:tmpl w:val="6E4E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030C"/>
    <w:multiLevelType w:val="hybridMultilevel"/>
    <w:tmpl w:val="DBF4D4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E7EDF"/>
    <w:multiLevelType w:val="hybridMultilevel"/>
    <w:tmpl w:val="2E946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F5D99"/>
    <w:multiLevelType w:val="hybridMultilevel"/>
    <w:tmpl w:val="8634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80D89"/>
    <w:multiLevelType w:val="hybridMultilevel"/>
    <w:tmpl w:val="F17C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00C8A"/>
    <w:multiLevelType w:val="hybridMultilevel"/>
    <w:tmpl w:val="974A8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3102CC"/>
    <w:multiLevelType w:val="hybridMultilevel"/>
    <w:tmpl w:val="C47C6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73A2F"/>
    <w:multiLevelType w:val="hybridMultilevel"/>
    <w:tmpl w:val="11788538"/>
    <w:lvl w:ilvl="0" w:tplc="E2660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B203B"/>
    <w:multiLevelType w:val="hybridMultilevel"/>
    <w:tmpl w:val="6C7A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44156"/>
    <w:multiLevelType w:val="hybridMultilevel"/>
    <w:tmpl w:val="62EC4E7A"/>
    <w:lvl w:ilvl="0" w:tplc="E75E9F8C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24853"/>
    <w:multiLevelType w:val="hybridMultilevel"/>
    <w:tmpl w:val="7BA02104"/>
    <w:lvl w:ilvl="0" w:tplc="E2660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8138F"/>
    <w:multiLevelType w:val="hybridMultilevel"/>
    <w:tmpl w:val="F5F4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D3026"/>
    <w:multiLevelType w:val="hybridMultilevel"/>
    <w:tmpl w:val="B2ACF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77EE5"/>
    <w:multiLevelType w:val="hybridMultilevel"/>
    <w:tmpl w:val="E98A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54261"/>
    <w:multiLevelType w:val="hybridMultilevel"/>
    <w:tmpl w:val="5868F8DE"/>
    <w:lvl w:ilvl="0" w:tplc="E75E9F8C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D4ECE"/>
    <w:multiLevelType w:val="hybridMultilevel"/>
    <w:tmpl w:val="0D083092"/>
    <w:lvl w:ilvl="0" w:tplc="E2660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A3D0B"/>
    <w:multiLevelType w:val="hybridMultilevel"/>
    <w:tmpl w:val="23E8D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5"/>
  </w:num>
  <w:num w:numId="5">
    <w:abstractNumId w:val="1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2"/>
  </w:num>
  <w:num w:numId="11">
    <w:abstractNumId w:val="20"/>
  </w:num>
  <w:num w:numId="12">
    <w:abstractNumId w:val="15"/>
  </w:num>
  <w:num w:numId="13">
    <w:abstractNumId w:val="9"/>
  </w:num>
  <w:num w:numId="14">
    <w:abstractNumId w:val="19"/>
  </w:num>
  <w:num w:numId="15">
    <w:abstractNumId w:val="14"/>
  </w:num>
  <w:num w:numId="16">
    <w:abstractNumId w:val="0"/>
  </w:num>
  <w:num w:numId="17">
    <w:abstractNumId w:val="11"/>
  </w:num>
  <w:num w:numId="18">
    <w:abstractNumId w:val="17"/>
  </w:num>
  <w:num w:numId="19">
    <w:abstractNumId w:val="21"/>
  </w:num>
  <w:num w:numId="20">
    <w:abstractNumId w:val="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32"/>
    <w:rsid w:val="00005FFF"/>
    <w:rsid w:val="00012170"/>
    <w:rsid w:val="00042409"/>
    <w:rsid w:val="00042C60"/>
    <w:rsid w:val="00093D3F"/>
    <w:rsid w:val="00134525"/>
    <w:rsid w:val="00232532"/>
    <w:rsid w:val="00243184"/>
    <w:rsid w:val="00287EBE"/>
    <w:rsid w:val="00333105"/>
    <w:rsid w:val="00340681"/>
    <w:rsid w:val="003A7964"/>
    <w:rsid w:val="00461030"/>
    <w:rsid w:val="00511934"/>
    <w:rsid w:val="0051226C"/>
    <w:rsid w:val="0052371E"/>
    <w:rsid w:val="0065752E"/>
    <w:rsid w:val="006902C4"/>
    <w:rsid w:val="006A592A"/>
    <w:rsid w:val="007813FD"/>
    <w:rsid w:val="007B4F5F"/>
    <w:rsid w:val="007C3266"/>
    <w:rsid w:val="007D3163"/>
    <w:rsid w:val="00811CED"/>
    <w:rsid w:val="00823E7A"/>
    <w:rsid w:val="0084006A"/>
    <w:rsid w:val="00874B16"/>
    <w:rsid w:val="00891642"/>
    <w:rsid w:val="008923C2"/>
    <w:rsid w:val="008B6B71"/>
    <w:rsid w:val="008E37BF"/>
    <w:rsid w:val="008F0F72"/>
    <w:rsid w:val="00933209"/>
    <w:rsid w:val="00933257"/>
    <w:rsid w:val="009336E2"/>
    <w:rsid w:val="009E0F0E"/>
    <w:rsid w:val="009E5D1E"/>
    <w:rsid w:val="00A31A45"/>
    <w:rsid w:val="00B130BD"/>
    <w:rsid w:val="00B13640"/>
    <w:rsid w:val="00B37282"/>
    <w:rsid w:val="00B61CA4"/>
    <w:rsid w:val="00BD0EE8"/>
    <w:rsid w:val="00BD6E16"/>
    <w:rsid w:val="00BF0F01"/>
    <w:rsid w:val="00C54F18"/>
    <w:rsid w:val="00C60EE9"/>
    <w:rsid w:val="00C7289A"/>
    <w:rsid w:val="00CB206B"/>
    <w:rsid w:val="00D602E2"/>
    <w:rsid w:val="00D85D36"/>
    <w:rsid w:val="00D86579"/>
    <w:rsid w:val="00D906C1"/>
    <w:rsid w:val="00E07ED5"/>
    <w:rsid w:val="00E10BEB"/>
    <w:rsid w:val="00E26831"/>
    <w:rsid w:val="00E940FF"/>
    <w:rsid w:val="00EC6C14"/>
    <w:rsid w:val="00F35F1F"/>
    <w:rsid w:val="00F70786"/>
    <w:rsid w:val="00F7698F"/>
    <w:rsid w:val="00F84C49"/>
    <w:rsid w:val="00F85EAF"/>
    <w:rsid w:val="00FA41A4"/>
    <w:rsid w:val="00FE2009"/>
    <w:rsid w:val="02D5D0BF"/>
    <w:rsid w:val="4FB68E4B"/>
    <w:rsid w:val="76679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FCA596"/>
  <w15:docId w15:val="{21002D8B-756E-462E-8AF3-35DB20F2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32"/>
  </w:style>
  <w:style w:type="paragraph" w:styleId="Footer">
    <w:name w:val="footer"/>
    <w:basedOn w:val="Normal"/>
    <w:link w:val="FooterChar"/>
    <w:uiPriority w:val="99"/>
    <w:unhideWhenUsed/>
    <w:rsid w:val="0023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32"/>
  </w:style>
  <w:style w:type="paragraph" w:styleId="BalloonText">
    <w:name w:val="Balloon Text"/>
    <w:basedOn w:val="Normal"/>
    <w:link w:val="BalloonTextChar"/>
    <w:uiPriority w:val="99"/>
    <w:semiHidden/>
    <w:unhideWhenUsed/>
    <w:rsid w:val="0023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32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rsid w:val="00232532"/>
    <w:pPr>
      <w:widowControl w:val="0"/>
      <w:autoSpaceDE w:val="0"/>
      <w:autoSpaceDN w:val="0"/>
      <w:adjustRightInd w:val="0"/>
      <w:spacing w:after="168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BD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6E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E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7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42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C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6B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bc62297d0d024c51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Villagomez</dc:creator>
  <cp:lastModifiedBy>Maya Severson</cp:lastModifiedBy>
  <cp:revision>5</cp:revision>
  <cp:lastPrinted>2017-10-17T19:48:00Z</cp:lastPrinted>
  <dcterms:created xsi:type="dcterms:W3CDTF">2019-08-05T17:59:00Z</dcterms:created>
  <dcterms:modified xsi:type="dcterms:W3CDTF">2019-11-06T23:16:00Z</dcterms:modified>
</cp:coreProperties>
</file>