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70" w:rsidRPr="001B3070" w:rsidRDefault="00012170" w:rsidP="00BD6E16">
      <w:pPr>
        <w:rPr>
          <w:b/>
        </w:rPr>
      </w:pPr>
      <w:bookmarkStart w:id="0" w:name="_GoBack"/>
      <w:bookmarkEnd w:id="0"/>
      <w:r w:rsidRPr="001B3070">
        <w:rPr>
          <w:b/>
        </w:rPr>
        <w:t>Policy Number:</w:t>
      </w:r>
      <w:r w:rsidR="00F85EAF" w:rsidRPr="001B3070">
        <w:rPr>
          <w:b/>
        </w:rPr>
        <w:t xml:space="preserve"> </w:t>
      </w:r>
      <w:r w:rsidR="005F4862">
        <w:rPr>
          <w:b/>
        </w:rPr>
        <w:t xml:space="preserve">GME </w:t>
      </w:r>
      <w:r w:rsidR="00AE2FDF">
        <w:rPr>
          <w:b/>
        </w:rPr>
        <w:t>14</w:t>
      </w:r>
    </w:p>
    <w:p w:rsidR="006834E4" w:rsidRPr="006834E4" w:rsidRDefault="00012170" w:rsidP="006834E4">
      <w:pPr>
        <w:pStyle w:val="NoSpacing"/>
        <w:rPr>
          <w:rFonts w:eastAsia="Times New Roman" w:cs="Times New Roman"/>
          <w:szCs w:val="24"/>
        </w:rPr>
      </w:pPr>
      <w:r w:rsidRPr="001B3070">
        <w:rPr>
          <w:b/>
        </w:rPr>
        <w:t>Policy Title:</w:t>
      </w:r>
      <w:r w:rsidR="001E06D6" w:rsidRPr="001B3070">
        <w:rPr>
          <w:b/>
        </w:rPr>
        <w:t xml:space="preserve">  </w:t>
      </w:r>
      <w:r w:rsidR="00CD08A1">
        <w:rPr>
          <w:rFonts w:eastAsia="Times New Roman" w:cs="Times New Roman"/>
          <w:b/>
          <w:szCs w:val="24"/>
        </w:rPr>
        <w:t>Grievance Policy</w:t>
      </w:r>
    </w:p>
    <w:p w:rsidR="007D3163" w:rsidRPr="001B3070" w:rsidRDefault="007D3163" w:rsidP="001E06D6">
      <w:pPr>
        <w:pStyle w:val="NoSpacing"/>
        <w:rPr>
          <w:b/>
        </w:rPr>
      </w:pPr>
    </w:p>
    <w:p w:rsidR="009C02B8" w:rsidRPr="009C02B8" w:rsidRDefault="00BD6E16" w:rsidP="009C02B8">
      <w:pPr>
        <w:pStyle w:val="BodyText"/>
        <w:rPr>
          <w:rFonts w:asciiTheme="minorHAnsi" w:hAnsiTheme="minorHAnsi"/>
        </w:rPr>
      </w:pPr>
      <w:r w:rsidRPr="009C02B8">
        <w:rPr>
          <w:rFonts w:asciiTheme="minorHAnsi" w:hAnsiTheme="minorHAnsi"/>
          <w:b/>
        </w:rPr>
        <w:t>Policy Statement</w:t>
      </w:r>
      <w:r w:rsidR="00A34F47" w:rsidRPr="009C02B8">
        <w:rPr>
          <w:rFonts w:asciiTheme="minorHAnsi" w:hAnsiTheme="minorHAnsi"/>
          <w:b/>
        </w:rPr>
        <w:t xml:space="preserve">: </w:t>
      </w:r>
      <w:r w:rsidR="00A34F47" w:rsidRPr="009C02B8">
        <w:rPr>
          <w:rFonts w:asciiTheme="minorHAnsi" w:hAnsiTheme="minorHAnsi"/>
        </w:rPr>
        <w:t xml:space="preserve"> </w:t>
      </w:r>
      <w:r w:rsidR="009C02B8" w:rsidRPr="009C02B8">
        <w:rPr>
          <w:rFonts w:asciiTheme="minorHAnsi" w:hAnsiTheme="minorHAnsi"/>
        </w:rPr>
        <w:t>The purpose of the procedure is to secure at the lowest possible level equitable solutions to individual grievances which may arise about the interpretation or application of the Intern/Resident/Fellow Appointment Agreement.</w:t>
      </w:r>
    </w:p>
    <w:p w:rsidR="009C02B8" w:rsidRPr="009C02B8" w:rsidRDefault="009C02B8" w:rsidP="009C02B8">
      <w:pPr>
        <w:ind w:left="702"/>
      </w:pPr>
    </w:p>
    <w:p w:rsidR="009C02B8" w:rsidRPr="009C02B8" w:rsidRDefault="009C02B8" w:rsidP="009C02B8">
      <w:pPr>
        <w:pStyle w:val="BodyText"/>
        <w:rPr>
          <w:rFonts w:asciiTheme="minorHAnsi" w:hAnsiTheme="minorHAnsi"/>
        </w:rPr>
      </w:pPr>
      <w:r w:rsidRPr="009C02B8">
        <w:rPr>
          <w:rFonts w:asciiTheme="minorHAnsi" w:hAnsiTheme="minorHAnsi"/>
        </w:rPr>
        <w:t>Interns/Residents/Fellows are entitled to address concerns or complaints related to the work environment and issues related to the programs or faculty through a grievance process, as well as training or other disciplinary actions taken against them that could result in dismissal, nonrenewal of their contract, or other actions that could significantly threaten their intended career development.</w:t>
      </w:r>
    </w:p>
    <w:p w:rsidR="009C02B8" w:rsidRPr="009C02B8" w:rsidRDefault="009C02B8" w:rsidP="009C02B8">
      <w:pPr>
        <w:pStyle w:val="BodyText"/>
        <w:rPr>
          <w:rFonts w:asciiTheme="minorHAnsi" w:hAnsiTheme="minorHAnsi"/>
        </w:rPr>
      </w:pPr>
    </w:p>
    <w:p w:rsidR="009C02B8" w:rsidRPr="009C02B8" w:rsidRDefault="009C02B8" w:rsidP="009C02B8">
      <w:pPr>
        <w:pStyle w:val="BodyText"/>
        <w:rPr>
          <w:rFonts w:asciiTheme="minorHAnsi" w:hAnsiTheme="minorHAnsi"/>
        </w:rPr>
      </w:pPr>
      <w:r w:rsidRPr="009C02B8">
        <w:rPr>
          <w:rFonts w:asciiTheme="minorHAnsi" w:hAnsiTheme="minorHAnsi"/>
        </w:rPr>
        <w:t>These provisions are not available to grieve or appeal sanctions for cause, affirmative action or discrimination grievances, the termination of an Intern/Resident/Fellow due to program or department elimination or reduction or financial exigency, or to other circumstances where an OHSU policy provides that this grievance policy is not applicable.</w:t>
      </w:r>
    </w:p>
    <w:p w:rsidR="009C02B8" w:rsidRPr="009C02B8" w:rsidRDefault="009C02B8" w:rsidP="009C02B8">
      <w:pPr>
        <w:rPr>
          <w:b/>
          <w:bCs/>
        </w:rPr>
      </w:pPr>
    </w:p>
    <w:p w:rsidR="009C02B8" w:rsidRPr="009C02B8" w:rsidRDefault="009C02B8" w:rsidP="009C02B8">
      <w:pPr>
        <w:rPr>
          <w:b/>
          <w:bCs/>
        </w:rPr>
      </w:pPr>
      <w:r w:rsidRPr="009C02B8">
        <w:rPr>
          <w:b/>
          <w:bCs/>
        </w:rPr>
        <w:t>PRELIMINARY PROCEDURE / INFORMAL RESOLUTION</w:t>
      </w:r>
    </w:p>
    <w:p w:rsidR="009C02B8" w:rsidRPr="009C02B8" w:rsidRDefault="009C02B8" w:rsidP="009C02B8">
      <w:pPr>
        <w:ind w:left="702"/>
      </w:pPr>
    </w:p>
    <w:p w:rsidR="009C02B8" w:rsidRPr="009C02B8" w:rsidRDefault="009C02B8" w:rsidP="009C02B8">
      <w:pPr>
        <w:pStyle w:val="BodyText"/>
        <w:rPr>
          <w:rFonts w:asciiTheme="minorHAnsi" w:hAnsiTheme="minorHAnsi"/>
        </w:rPr>
      </w:pPr>
      <w:r w:rsidRPr="009C02B8">
        <w:rPr>
          <w:rFonts w:asciiTheme="minorHAnsi" w:hAnsiTheme="minorHAnsi"/>
        </w:rPr>
        <w:t xml:space="preserve">No matter shall be submitted for the Grievance Procedure unless it has first been discussed personally by the Intern/Resident/Fellow and his/her Program Director.  If the Program Director is personally involved in the matter, then the Associate Dean for GME, Designated Institutional Official (DIO) or his /her designee, shall be substituted for the Program Director.  Both parties shall make a good faith effort to resolve the grievance in an informal manner.  </w:t>
      </w:r>
    </w:p>
    <w:p w:rsidR="009C02B8" w:rsidRPr="009C02B8" w:rsidRDefault="009C02B8" w:rsidP="009C02B8">
      <w:pPr>
        <w:pStyle w:val="BodyText"/>
        <w:rPr>
          <w:rFonts w:asciiTheme="minorHAnsi" w:hAnsiTheme="minorHAnsi"/>
        </w:rPr>
      </w:pPr>
    </w:p>
    <w:p w:rsidR="009C02B8" w:rsidRPr="009C02B8" w:rsidRDefault="009C02B8" w:rsidP="009C02B8">
      <w:pPr>
        <w:pStyle w:val="BodyText"/>
        <w:rPr>
          <w:rFonts w:asciiTheme="minorHAnsi" w:hAnsiTheme="minorHAnsi"/>
        </w:rPr>
      </w:pPr>
      <w:r w:rsidRPr="009C02B8">
        <w:rPr>
          <w:rFonts w:asciiTheme="minorHAnsi" w:hAnsiTheme="minorHAnsi"/>
        </w:rPr>
        <w:t>Grievances that are within the responsibility of an O</w:t>
      </w:r>
      <w:r>
        <w:rPr>
          <w:rFonts w:asciiTheme="minorHAnsi" w:hAnsiTheme="minorHAnsi"/>
        </w:rPr>
        <w:t xml:space="preserve">HSU department outside of their </w:t>
      </w:r>
      <w:r w:rsidRPr="009C02B8">
        <w:rPr>
          <w:rFonts w:asciiTheme="minorHAnsi" w:hAnsiTheme="minorHAnsi"/>
        </w:rPr>
        <w:t>school or college, such as concerns regarding prohibited discrimi</w:t>
      </w:r>
      <w:r>
        <w:rPr>
          <w:rFonts w:asciiTheme="minorHAnsi" w:hAnsiTheme="minorHAnsi"/>
        </w:rPr>
        <w:t xml:space="preserve">nation, will be referred to the </w:t>
      </w:r>
      <w:r w:rsidRPr="009C02B8">
        <w:rPr>
          <w:rFonts w:asciiTheme="minorHAnsi" w:hAnsiTheme="minorHAnsi"/>
        </w:rPr>
        <w:t>appropriate OHSU office.</w:t>
      </w:r>
    </w:p>
    <w:p w:rsidR="009C02B8" w:rsidRPr="009C02B8" w:rsidRDefault="009C02B8" w:rsidP="009C02B8">
      <w:pPr>
        <w:pStyle w:val="BodyText"/>
        <w:rPr>
          <w:rFonts w:asciiTheme="minorHAnsi" w:hAnsiTheme="minorHAnsi"/>
        </w:rPr>
      </w:pPr>
    </w:p>
    <w:p w:rsidR="009C02B8" w:rsidRPr="009C02B8" w:rsidRDefault="009C02B8" w:rsidP="009C02B8">
      <w:pPr>
        <w:pStyle w:val="BodyText"/>
        <w:rPr>
          <w:rFonts w:asciiTheme="minorHAnsi" w:hAnsiTheme="minorHAnsi"/>
        </w:rPr>
      </w:pPr>
      <w:r w:rsidRPr="009C02B8">
        <w:rPr>
          <w:rFonts w:asciiTheme="minorHAnsi" w:hAnsiTheme="minorHAnsi"/>
        </w:rPr>
        <w:t>If the grievance is not resolved, the Intern/Resident/Fellow may proceed to Step One of the Grievance Procedure.</w:t>
      </w:r>
    </w:p>
    <w:p w:rsidR="009C02B8" w:rsidRPr="009C02B8" w:rsidRDefault="009C02B8" w:rsidP="009C02B8">
      <w:pPr>
        <w:rPr>
          <w:b/>
          <w:bCs/>
        </w:rPr>
      </w:pPr>
    </w:p>
    <w:p w:rsidR="009C02B8" w:rsidRPr="009C02B8" w:rsidRDefault="009C02B8" w:rsidP="009C02B8">
      <w:r w:rsidRPr="009C02B8">
        <w:rPr>
          <w:b/>
          <w:bCs/>
        </w:rPr>
        <w:t>INITIATION OF THE GRIEVANCE PROCESS</w:t>
      </w:r>
    </w:p>
    <w:p w:rsidR="009C02B8" w:rsidRPr="009C02B8" w:rsidRDefault="009C02B8" w:rsidP="009C02B8">
      <w:pPr>
        <w:ind w:left="702"/>
      </w:pPr>
    </w:p>
    <w:p w:rsidR="009C02B8" w:rsidRPr="009C02B8" w:rsidRDefault="009C02B8" w:rsidP="009C02B8">
      <w:pPr>
        <w:pStyle w:val="BodyText"/>
        <w:rPr>
          <w:rFonts w:asciiTheme="minorHAnsi" w:hAnsiTheme="minorHAnsi"/>
        </w:rPr>
      </w:pPr>
      <w:r w:rsidRPr="009C02B8">
        <w:rPr>
          <w:rFonts w:asciiTheme="minorHAnsi" w:hAnsiTheme="minorHAnsi"/>
        </w:rPr>
        <w:t xml:space="preserve">If the Interns/Residents/Fellow is unable to resolve the grievance informally, the grievance shall be </w:t>
      </w:r>
      <w:proofErr w:type="gramStart"/>
      <w:r w:rsidRPr="009C02B8">
        <w:rPr>
          <w:rFonts w:asciiTheme="minorHAnsi" w:hAnsiTheme="minorHAnsi"/>
        </w:rPr>
        <w:t>submitted  in</w:t>
      </w:r>
      <w:proofErr w:type="gramEnd"/>
      <w:r w:rsidRPr="009C02B8">
        <w:rPr>
          <w:rFonts w:asciiTheme="minorHAnsi" w:hAnsiTheme="minorHAnsi"/>
        </w:rPr>
        <w:t xml:space="preserve"> writing to the Associate Dean for GME, DIO or his/her designee with ten (10) business days following the grievable event or within ten (10) business days after the termination of the informal resolution phase, whichever is longer.  If the grievance is not filed in writing within this timeframe, the intern/resident/fellow has no grievance pursuant to this process and procedure.  The written grievance should describe the nature of the grievance, circumstances surrounding the grievance, previous efforts to resolve, and the requested remedial action.  Grievances shall be reviewed by the Associate Dean for </w:t>
      </w:r>
      <w:r w:rsidRPr="009C02B8">
        <w:rPr>
          <w:rFonts w:asciiTheme="minorHAnsi" w:hAnsiTheme="minorHAnsi"/>
        </w:rPr>
        <w:lastRenderedPageBreak/>
        <w:t>GME/DIO or his/her designee and the Legal Department to determine whether the matter is grievable.</w:t>
      </w:r>
    </w:p>
    <w:p w:rsidR="009C02B8" w:rsidRPr="009C02B8" w:rsidRDefault="009C02B8" w:rsidP="009C02B8">
      <w:pPr>
        <w:pStyle w:val="BodyText"/>
        <w:rPr>
          <w:rFonts w:asciiTheme="minorHAnsi" w:hAnsiTheme="minorHAnsi"/>
        </w:rPr>
      </w:pPr>
    </w:p>
    <w:p w:rsidR="009C02B8" w:rsidRPr="009C02B8" w:rsidRDefault="009C02B8" w:rsidP="009C02B8">
      <w:pPr>
        <w:pStyle w:val="BodyText"/>
        <w:rPr>
          <w:rFonts w:asciiTheme="minorHAnsi" w:hAnsiTheme="minorHAnsi"/>
          <w:b/>
        </w:rPr>
      </w:pPr>
      <w:r w:rsidRPr="009C02B8">
        <w:rPr>
          <w:rFonts w:asciiTheme="minorHAnsi" w:hAnsiTheme="minorHAnsi"/>
        </w:rPr>
        <w:tab/>
      </w:r>
      <w:r w:rsidRPr="009C02B8">
        <w:rPr>
          <w:rFonts w:asciiTheme="minorHAnsi" w:hAnsiTheme="minorHAnsi"/>
          <w:b/>
        </w:rPr>
        <w:t>GRIEVANCE PROCEDURE:</w:t>
      </w:r>
      <w:r w:rsidRPr="009C02B8">
        <w:rPr>
          <w:rFonts w:asciiTheme="minorHAnsi" w:hAnsiTheme="minorHAnsi"/>
          <w:b/>
        </w:rPr>
        <w:br/>
      </w:r>
    </w:p>
    <w:p w:rsidR="009C02B8" w:rsidRPr="009C02B8" w:rsidRDefault="009C02B8" w:rsidP="009C02B8">
      <w:pPr>
        <w:pStyle w:val="BodyText"/>
        <w:widowControl/>
        <w:numPr>
          <w:ilvl w:val="0"/>
          <w:numId w:val="26"/>
        </w:numPr>
        <w:autoSpaceDE/>
        <w:autoSpaceDN/>
        <w:adjustRightInd/>
        <w:rPr>
          <w:rFonts w:asciiTheme="minorHAnsi" w:hAnsiTheme="minorHAnsi"/>
        </w:rPr>
      </w:pPr>
      <w:r w:rsidRPr="009C02B8">
        <w:rPr>
          <w:rFonts w:asciiTheme="minorHAnsi" w:hAnsiTheme="minorHAnsi"/>
        </w:rPr>
        <w:t xml:space="preserve">The Associate Dean for GME, DIO or his/her designee will appoint a committee consisting of one (1) uninvolved Intern/Resident/Fellow and one (1) member of the Active Medical Staff appointed by the Associate Dean for GME, DIO or his/her designee; and one person from the Active Medical Staff </w:t>
      </w:r>
      <w:r w:rsidRPr="009C02B8">
        <w:rPr>
          <w:rFonts w:asciiTheme="minorHAnsi" w:hAnsiTheme="minorHAnsi"/>
          <w:u w:val="single"/>
        </w:rPr>
        <w:t>or</w:t>
      </w:r>
      <w:r w:rsidRPr="009C02B8">
        <w:rPr>
          <w:rFonts w:asciiTheme="minorHAnsi" w:hAnsiTheme="minorHAnsi"/>
        </w:rPr>
        <w:t xml:space="preserve"> one (1) Intern/Resident/Fellow acceptable to and agreed upon by the two aforementioned appointed members.  The Associate Dean for GME, DIO or his/her designee shall be the Chair of the Committee, shall attend to the administrative matters and may participate in the deliberations but shall not have a vote.</w:t>
      </w:r>
    </w:p>
    <w:p w:rsidR="009C02B8" w:rsidRPr="009C02B8" w:rsidRDefault="009C02B8" w:rsidP="009C02B8">
      <w:pPr>
        <w:pStyle w:val="BodyText"/>
        <w:widowControl/>
        <w:numPr>
          <w:ilvl w:val="0"/>
          <w:numId w:val="26"/>
        </w:numPr>
        <w:autoSpaceDE/>
        <w:autoSpaceDN/>
        <w:adjustRightInd/>
        <w:rPr>
          <w:rFonts w:asciiTheme="minorHAnsi" w:hAnsiTheme="minorHAnsi"/>
        </w:rPr>
      </w:pPr>
      <w:r w:rsidRPr="009C02B8">
        <w:rPr>
          <w:rFonts w:asciiTheme="minorHAnsi" w:hAnsiTheme="minorHAnsi"/>
        </w:rPr>
        <w:t xml:space="preserve">The Committee shall be formed within fourteen (14) business days of the filing of the grievance.  The Committee shall hear the case as promptly as is practicable with due notice to all parties and in any event within ten (10) business days after constitution of the Committee unless delay is mutually agreed upon by all parties. </w:t>
      </w:r>
    </w:p>
    <w:p w:rsidR="009C02B8" w:rsidRPr="009C02B8" w:rsidRDefault="009C02B8" w:rsidP="009C02B8">
      <w:pPr>
        <w:pStyle w:val="BodyText"/>
        <w:widowControl/>
        <w:numPr>
          <w:ilvl w:val="0"/>
          <w:numId w:val="26"/>
        </w:numPr>
        <w:autoSpaceDE/>
        <w:autoSpaceDN/>
        <w:adjustRightInd/>
        <w:rPr>
          <w:rFonts w:asciiTheme="minorHAnsi" w:hAnsiTheme="minorHAnsi"/>
        </w:rPr>
      </w:pPr>
      <w:r w:rsidRPr="009C02B8">
        <w:rPr>
          <w:rFonts w:asciiTheme="minorHAnsi" w:hAnsiTheme="minorHAnsi"/>
        </w:rPr>
        <w:t xml:space="preserve">Evidence and argument may be submitted in writing or personally or both.  Each party has the right to bring an advisor or support person to the proceedings. If the advisor or support person is an attorney, the Grievant must notify the Chair at least 5 business days prior to the proceedings. The attorney or counsel will not actively participate in the proceedings unless authorized by the Chair.  </w:t>
      </w:r>
    </w:p>
    <w:p w:rsidR="009C02B8" w:rsidRPr="009C02B8" w:rsidRDefault="009C02B8" w:rsidP="009C02B8">
      <w:pPr>
        <w:pStyle w:val="BodyText"/>
        <w:widowControl/>
        <w:numPr>
          <w:ilvl w:val="0"/>
          <w:numId w:val="26"/>
        </w:numPr>
        <w:autoSpaceDE/>
        <w:autoSpaceDN/>
        <w:adjustRightInd/>
        <w:rPr>
          <w:rFonts w:asciiTheme="minorHAnsi" w:hAnsiTheme="minorHAnsi"/>
        </w:rPr>
      </w:pPr>
      <w:r w:rsidRPr="009C02B8">
        <w:rPr>
          <w:rFonts w:asciiTheme="minorHAnsi" w:hAnsiTheme="minorHAnsi"/>
        </w:rPr>
        <w:t>A record of the Grievance Committee session, except for deliberations, shall be kept.  All Grievance Committee proceedings will be closed to the public.</w:t>
      </w:r>
    </w:p>
    <w:p w:rsidR="009C02B8" w:rsidRPr="009C02B8" w:rsidRDefault="009C02B8" w:rsidP="009C02B8">
      <w:r w:rsidRPr="009C02B8">
        <w:tab/>
      </w:r>
    </w:p>
    <w:p w:rsidR="009C02B8" w:rsidRPr="009C02B8" w:rsidRDefault="009C02B8" w:rsidP="009C02B8">
      <w:pPr>
        <w:pStyle w:val="BodyText"/>
        <w:ind w:left="720"/>
        <w:rPr>
          <w:rFonts w:asciiTheme="minorHAnsi" w:hAnsiTheme="minorHAnsi"/>
        </w:rPr>
      </w:pPr>
      <w:r w:rsidRPr="009C02B8">
        <w:rPr>
          <w:rFonts w:asciiTheme="minorHAnsi" w:hAnsiTheme="minorHAnsi"/>
          <w:b/>
        </w:rPr>
        <w:t>RESOLUTION AND GRIEVANCE PANEL RECOMMENDATION</w:t>
      </w:r>
    </w:p>
    <w:p w:rsidR="009C02B8" w:rsidRPr="009C02B8" w:rsidRDefault="009C02B8" w:rsidP="009C02B8">
      <w:pPr>
        <w:pStyle w:val="BodyText"/>
        <w:ind w:left="720"/>
        <w:rPr>
          <w:rFonts w:asciiTheme="minorHAnsi" w:hAnsiTheme="minorHAnsi"/>
        </w:rPr>
      </w:pPr>
    </w:p>
    <w:p w:rsidR="009C02B8" w:rsidRPr="009C02B8" w:rsidRDefault="009C02B8" w:rsidP="009C02B8">
      <w:pPr>
        <w:pStyle w:val="BodyText"/>
        <w:widowControl/>
        <w:numPr>
          <w:ilvl w:val="0"/>
          <w:numId w:val="27"/>
        </w:numPr>
        <w:autoSpaceDE/>
        <w:autoSpaceDN/>
        <w:adjustRightInd/>
        <w:rPr>
          <w:rFonts w:asciiTheme="minorHAnsi" w:hAnsiTheme="minorHAnsi"/>
        </w:rPr>
      </w:pPr>
      <w:r w:rsidRPr="009C02B8">
        <w:rPr>
          <w:rFonts w:asciiTheme="minorHAnsi" w:hAnsiTheme="minorHAnsi"/>
        </w:rPr>
        <w:t xml:space="preserve">If at any time during the grievance process a resolution is reached, the Grievance Committee will prepare a statement of understanding for all parties to sign and file the statement with the Associate Dean for GME, DIO or his/her designee. If resolution is not reached, the Grievance Committee will complete its review and prepare a recommendation for the Executive Director, OHSU Healthcare, within fifteen (15) business days of the Grievance Committee session. </w:t>
      </w:r>
    </w:p>
    <w:p w:rsidR="009C02B8" w:rsidRPr="009C02B8" w:rsidRDefault="009C02B8" w:rsidP="009C02B8">
      <w:pPr>
        <w:pStyle w:val="BodyText"/>
        <w:widowControl/>
        <w:numPr>
          <w:ilvl w:val="0"/>
          <w:numId w:val="27"/>
        </w:numPr>
        <w:autoSpaceDE/>
        <w:autoSpaceDN/>
        <w:adjustRightInd/>
        <w:rPr>
          <w:rFonts w:asciiTheme="minorHAnsi" w:hAnsiTheme="minorHAnsi"/>
        </w:rPr>
      </w:pPr>
      <w:r w:rsidRPr="009C02B8">
        <w:rPr>
          <w:rFonts w:asciiTheme="minorHAnsi" w:hAnsiTheme="minorHAnsi"/>
        </w:rPr>
        <w:t>The Executive Director, OHSU Healthcare shall review the Committee recommendation and within five (5) business days notify in writing the parties involved in the dispute and the Associate Dean for GME, DIO or his/her designee of his/her approval of the Committee recommendation; and, if disapproval, of his/her decision on the grievable matter.</w:t>
      </w:r>
      <w:r w:rsidRPr="009C02B8">
        <w:rPr>
          <w:rFonts w:asciiTheme="minorHAnsi" w:hAnsiTheme="minorHAnsi"/>
        </w:rPr>
        <w:tab/>
      </w:r>
    </w:p>
    <w:p w:rsidR="009C02B8" w:rsidRPr="009C02B8" w:rsidRDefault="009C02B8" w:rsidP="009C02B8">
      <w:pPr>
        <w:pStyle w:val="BodyText"/>
        <w:widowControl/>
        <w:numPr>
          <w:ilvl w:val="0"/>
          <w:numId w:val="27"/>
        </w:numPr>
        <w:autoSpaceDE/>
        <w:autoSpaceDN/>
        <w:adjustRightInd/>
        <w:rPr>
          <w:rFonts w:asciiTheme="minorHAnsi" w:hAnsiTheme="minorHAnsi"/>
        </w:rPr>
      </w:pPr>
      <w:r w:rsidRPr="009C02B8">
        <w:rPr>
          <w:rFonts w:asciiTheme="minorHAnsi" w:hAnsiTheme="minorHAnsi"/>
        </w:rPr>
        <w:t>If no notice of appeal, as provided for in Step Two, is filed within five (5) business days of the Executive Director written decision, the decision shall be final.  The Associate Dean for GME, DIO or his/her designee shall be responsible for seeing that any necessary action to resolve the grievance in accordance with the decision is carried out.</w:t>
      </w:r>
    </w:p>
    <w:p w:rsidR="009C02B8" w:rsidRPr="009C02B8" w:rsidRDefault="009C02B8" w:rsidP="009C02B8">
      <w:pPr>
        <w:rPr>
          <w:b/>
          <w:bCs/>
        </w:rPr>
      </w:pPr>
    </w:p>
    <w:p w:rsidR="009C02B8" w:rsidRPr="009C02B8" w:rsidRDefault="009C02B8" w:rsidP="009C02B8">
      <w:r w:rsidRPr="009C02B8">
        <w:rPr>
          <w:b/>
          <w:bCs/>
        </w:rPr>
        <w:t>RIGHT TO APPEAL</w:t>
      </w:r>
    </w:p>
    <w:p w:rsidR="009C02B8" w:rsidRPr="009C02B8" w:rsidRDefault="009C02B8" w:rsidP="009C02B8">
      <w:pPr>
        <w:ind w:left="702"/>
      </w:pPr>
    </w:p>
    <w:p w:rsidR="009C02B8" w:rsidRPr="009C02B8" w:rsidRDefault="009C02B8" w:rsidP="009C02B8">
      <w:pPr>
        <w:pStyle w:val="BodyText"/>
        <w:rPr>
          <w:rFonts w:asciiTheme="minorHAnsi" w:hAnsiTheme="minorHAnsi"/>
        </w:rPr>
      </w:pPr>
      <w:r w:rsidRPr="009C02B8">
        <w:rPr>
          <w:rFonts w:asciiTheme="minorHAnsi" w:hAnsiTheme="minorHAnsi"/>
        </w:rPr>
        <w:lastRenderedPageBreak/>
        <w:t>If any party to the grievance is dissatisfied with the decision resulting from the procedure in Step One, they may appeal in writing to the Provost within five (5) business days following receipt of the decision in Step One.  Appeals to the Provost may only be made upon the following grounds:</w:t>
      </w:r>
      <w:r w:rsidRPr="009C02B8">
        <w:rPr>
          <w:rFonts w:asciiTheme="minorHAnsi" w:hAnsiTheme="minorHAnsi"/>
        </w:rPr>
        <w:br/>
      </w:r>
    </w:p>
    <w:p w:rsidR="009C02B8" w:rsidRPr="009C02B8" w:rsidRDefault="009C02B8" w:rsidP="009C02B8">
      <w:pPr>
        <w:pStyle w:val="BodyText"/>
        <w:widowControl/>
        <w:numPr>
          <w:ilvl w:val="0"/>
          <w:numId w:val="28"/>
        </w:numPr>
        <w:autoSpaceDE/>
        <w:autoSpaceDN/>
        <w:adjustRightInd/>
        <w:rPr>
          <w:rFonts w:asciiTheme="minorHAnsi" w:hAnsiTheme="minorHAnsi"/>
        </w:rPr>
      </w:pPr>
      <w:r w:rsidRPr="009C02B8">
        <w:rPr>
          <w:rFonts w:asciiTheme="minorHAnsi" w:hAnsiTheme="minorHAnsi"/>
        </w:rPr>
        <w:t>The program failed to follow established procedures with respect to the decision appealed from and the error resulted in prejudice to the Intern/Resident/Fellow; or</w:t>
      </w:r>
    </w:p>
    <w:p w:rsidR="009C02B8" w:rsidRPr="009C02B8" w:rsidRDefault="009C02B8" w:rsidP="009C02B8">
      <w:pPr>
        <w:pStyle w:val="BodyText"/>
        <w:widowControl/>
        <w:numPr>
          <w:ilvl w:val="0"/>
          <w:numId w:val="28"/>
        </w:numPr>
        <w:autoSpaceDE/>
        <w:autoSpaceDN/>
        <w:adjustRightInd/>
        <w:rPr>
          <w:rFonts w:asciiTheme="minorHAnsi" w:hAnsiTheme="minorHAnsi"/>
        </w:rPr>
      </w:pPr>
      <w:r w:rsidRPr="009C02B8">
        <w:rPr>
          <w:rFonts w:asciiTheme="minorHAnsi" w:hAnsiTheme="minorHAnsi"/>
        </w:rPr>
        <w:t>The decision is in conflict with applicable laws, rules or OHSU policies.</w:t>
      </w:r>
    </w:p>
    <w:p w:rsidR="009C02B8" w:rsidRPr="009C02B8" w:rsidRDefault="009C02B8" w:rsidP="009C02B8">
      <w:pPr>
        <w:pStyle w:val="BodyText"/>
        <w:rPr>
          <w:rFonts w:asciiTheme="minorHAnsi" w:hAnsiTheme="minorHAnsi"/>
        </w:rPr>
      </w:pPr>
    </w:p>
    <w:p w:rsidR="009C02B8" w:rsidRPr="009C02B8" w:rsidRDefault="009C02B8" w:rsidP="009C02B8">
      <w:pPr>
        <w:pStyle w:val="BodyText"/>
        <w:rPr>
          <w:rFonts w:asciiTheme="minorHAnsi" w:hAnsiTheme="minorHAnsi"/>
        </w:rPr>
      </w:pPr>
      <w:r w:rsidRPr="009C02B8">
        <w:rPr>
          <w:rFonts w:asciiTheme="minorHAnsi" w:hAnsiTheme="minorHAnsi"/>
        </w:rPr>
        <w:t>The Provost will review the appeal within thirty (30) business days, unless unusual circumstances require a longer review.  The decision of the Provost is final.</w:t>
      </w:r>
    </w:p>
    <w:p w:rsidR="009C02B8" w:rsidRDefault="009C02B8" w:rsidP="009C02B8">
      <w:pPr>
        <w:pStyle w:val="BodyText"/>
      </w:pPr>
    </w:p>
    <w:p w:rsidR="006109AA" w:rsidRPr="00A34F47" w:rsidRDefault="006109AA" w:rsidP="00A34F47"/>
    <w:p w:rsidR="00933257" w:rsidRPr="001B3070" w:rsidRDefault="00933257" w:rsidP="00933257">
      <w:pPr>
        <w:pStyle w:val="NoSpacing"/>
        <w:rPr>
          <w:b/>
        </w:rPr>
      </w:pPr>
      <w:r w:rsidRPr="001B3070">
        <w:rPr>
          <w:b/>
          <w:u w:val="single"/>
        </w:rPr>
        <w:t>Policy Owner:</w:t>
      </w:r>
      <w:r w:rsidRPr="001B3070">
        <w:rPr>
          <w:b/>
        </w:rPr>
        <w:t xml:space="preserve"> </w:t>
      </w:r>
      <w:r w:rsidR="00A34F47">
        <w:rPr>
          <w:b/>
        </w:rPr>
        <w:t>Graduate Medical Education Committee</w:t>
      </w:r>
    </w:p>
    <w:p w:rsidR="00933257" w:rsidRPr="001B3070" w:rsidRDefault="00933257" w:rsidP="00933257">
      <w:pPr>
        <w:pStyle w:val="NoSpacing"/>
        <w:rPr>
          <w:b/>
        </w:rPr>
      </w:pPr>
    </w:p>
    <w:p w:rsidR="008E37BF" w:rsidRPr="001B3070" w:rsidRDefault="008E37BF" w:rsidP="008923C2">
      <w:pPr>
        <w:pStyle w:val="NoSpacing"/>
        <w:rPr>
          <w:b/>
        </w:rPr>
      </w:pPr>
      <w:r w:rsidRPr="001B3070">
        <w:rPr>
          <w:b/>
          <w:u w:val="single"/>
        </w:rPr>
        <w:t>Amendment/Approving Committee</w:t>
      </w:r>
      <w:r w:rsidR="00F85EAF" w:rsidRPr="001B3070">
        <w:rPr>
          <w:b/>
          <w:u w:val="single"/>
        </w:rPr>
        <w:t xml:space="preserve">: </w:t>
      </w:r>
      <w:r w:rsidR="00A34F47">
        <w:rPr>
          <w:b/>
        </w:rPr>
        <w:t xml:space="preserve"> Graduate Medical Education Committee</w:t>
      </w:r>
      <w:r w:rsidR="00F85EAF" w:rsidRPr="001B3070">
        <w:rPr>
          <w:b/>
        </w:rPr>
        <w:t xml:space="preserve"> </w:t>
      </w:r>
    </w:p>
    <w:p w:rsidR="008E37BF" w:rsidRDefault="008E37BF" w:rsidP="008923C2">
      <w:pPr>
        <w:pStyle w:val="NoSpacing"/>
      </w:pPr>
    </w:p>
    <w:p w:rsidR="006834E4" w:rsidRDefault="006834E4" w:rsidP="008923C2">
      <w:pPr>
        <w:pStyle w:val="NoSpacing"/>
      </w:pPr>
    </w:p>
    <w:p w:rsidR="006834E4" w:rsidRDefault="006834E4" w:rsidP="008923C2">
      <w:pPr>
        <w:pStyle w:val="NoSpacing"/>
      </w:pPr>
    </w:p>
    <w:p w:rsidR="008923C2" w:rsidRDefault="008923C2" w:rsidP="008923C2">
      <w:pPr>
        <w:pStyle w:val="NoSpacing"/>
        <w:rPr>
          <w:b/>
        </w:rPr>
      </w:pPr>
      <w:r w:rsidRPr="008923C2">
        <w:rPr>
          <w:b/>
        </w:rPr>
        <w:t>Additional Resources</w:t>
      </w:r>
    </w:p>
    <w:tbl>
      <w:tblPr>
        <w:tblStyle w:val="TableGrid"/>
        <w:tblW w:w="0" w:type="auto"/>
        <w:tblLook w:val="04A0" w:firstRow="1" w:lastRow="0" w:firstColumn="1" w:lastColumn="0" w:noHBand="0" w:noVBand="1"/>
      </w:tblPr>
      <w:tblGrid>
        <w:gridCol w:w="1998"/>
        <w:gridCol w:w="4386"/>
        <w:gridCol w:w="3192"/>
      </w:tblGrid>
      <w:tr w:rsidR="008923C2" w:rsidRPr="00012170" w:rsidTr="00012170">
        <w:tc>
          <w:tcPr>
            <w:tcW w:w="1998" w:type="dxa"/>
          </w:tcPr>
          <w:p w:rsidR="008923C2" w:rsidRPr="00012170" w:rsidRDefault="008923C2" w:rsidP="00012170">
            <w:pPr>
              <w:pStyle w:val="NoSpacing"/>
              <w:jc w:val="center"/>
              <w:rPr>
                <w:b/>
              </w:rPr>
            </w:pPr>
            <w:r w:rsidRPr="00012170">
              <w:rPr>
                <w:b/>
              </w:rPr>
              <w:t>Form/Document</w:t>
            </w:r>
          </w:p>
        </w:tc>
        <w:tc>
          <w:tcPr>
            <w:tcW w:w="4386" w:type="dxa"/>
          </w:tcPr>
          <w:p w:rsidR="008923C2" w:rsidRPr="00012170" w:rsidRDefault="008923C2" w:rsidP="00012170">
            <w:pPr>
              <w:pStyle w:val="NoSpacing"/>
              <w:jc w:val="center"/>
              <w:rPr>
                <w:b/>
              </w:rPr>
            </w:pPr>
            <w:r w:rsidRPr="00012170">
              <w:rPr>
                <w:b/>
              </w:rPr>
              <w:t>Use</w:t>
            </w:r>
          </w:p>
        </w:tc>
        <w:tc>
          <w:tcPr>
            <w:tcW w:w="3192" w:type="dxa"/>
          </w:tcPr>
          <w:p w:rsidR="008923C2" w:rsidRPr="00012170" w:rsidRDefault="008923C2" w:rsidP="00012170">
            <w:pPr>
              <w:pStyle w:val="NoSpacing"/>
              <w:jc w:val="center"/>
              <w:rPr>
                <w:b/>
              </w:rPr>
            </w:pPr>
            <w:r w:rsidRPr="00012170">
              <w:rPr>
                <w:b/>
              </w:rPr>
              <w:t>Links</w:t>
            </w:r>
          </w:p>
        </w:tc>
      </w:tr>
      <w:tr w:rsidR="008923C2" w:rsidRPr="00E26831" w:rsidTr="00012170">
        <w:tc>
          <w:tcPr>
            <w:tcW w:w="1998" w:type="dxa"/>
          </w:tcPr>
          <w:p w:rsidR="008923C2" w:rsidRPr="00E26831" w:rsidRDefault="008923C2" w:rsidP="008923C2">
            <w:pPr>
              <w:pStyle w:val="NoSpacing"/>
            </w:pPr>
          </w:p>
        </w:tc>
        <w:tc>
          <w:tcPr>
            <w:tcW w:w="4386" w:type="dxa"/>
          </w:tcPr>
          <w:p w:rsidR="00243184" w:rsidRPr="00E26831" w:rsidRDefault="00243184" w:rsidP="008923C2">
            <w:pPr>
              <w:pStyle w:val="NoSpacing"/>
            </w:pPr>
          </w:p>
        </w:tc>
        <w:tc>
          <w:tcPr>
            <w:tcW w:w="3192" w:type="dxa"/>
          </w:tcPr>
          <w:p w:rsidR="008923C2" w:rsidRPr="00E26831" w:rsidRDefault="008923C2" w:rsidP="008923C2">
            <w:pPr>
              <w:pStyle w:val="NoSpacing"/>
            </w:pPr>
          </w:p>
        </w:tc>
      </w:tr>
      <w:tr w:rsidR="008F0F72" w:rsidRPr="00E26831" w:rsidTr="00012170">
        <w:tc>
          <w:tcPr>
            <w:tcW w:w="1998" w:type="dxa"/>
          </w:tcPr>
          <w:p w:rsidR="008F0F72" w:rsidRPr="00E26831" w:rsidRDefault="008F0F72" w:rsidP="00855C33">
            <w:pPr>
              <w:pStyle w:val="NoSpacing"/>
            </w:pPr>
          </w:p>
        </w:tc>
        <w:tc>
          <w:tcPr>
            <w:tcW w:w="4386" w:type="dxa"/>
          </w:tcPr>
          <w:p w:rsidR="008F0F72" w:rsidRPr="00E26831" w:rsidRDefault="008F0F72" w:rsidP="00855C33">
            <w:pPr>
              <w:pStyle w:val="NoSpacing"/>
            </w:pPr>
          </w:p>
        </w:tc>
        <w:tc>
          <w:tcPr>
            <w:tcW w:w="3192" w:type="dxa"/>
          </w:tcPr>
          <w:p w:rsidR="008F0F72" w:rsidRPr="00E26831" w:rsidRDefault="008F0F72" w:rsidP="00855C33">
            <w:pPr>
              <w:pStyle w:val="NoSpacing"/>
            </w:pPr>
          </w:p>
        </w:tc>
      </w:tr>
      <w:tr w:rsidR="008923C2" w:rsidRPr="00E26831" w:rsidTr="00012170">
        <w:tc>
          <w:tcPr>
            <w:tcW w:w="1998" w:type="dxa"/>
          </w:tcPr>
          <w:p w:rsidR="008923C2" w:rsidRPr="00E26831" w:rsidRDefault="008923C2" w:rsidP="008923C2">
            <w:pPr>
              <w:pStyle w:val="NoSpacing"/>
            </w:pPr>
          </w:p>
        </w:tc>
        <w:tc>
          <w:tcPr>
            <w:tcW w:w="4386" w:type="dxa"/>
          </w:tcPr>
          <w:p w:rsidR="008923C2" w:rsidRPr="00E26831" w:rsidRDefault="008923C2" w:rsidP="008923C2">
            <w:pPr>
              <w:pStyle w:val="NoSpacing"/>
            </w:pPr>
          </w:p>
        </w:tc>
        <w:tc>
          <w:tcPr>
            <w:tcW w:w="3192" w:type="dxa"/>
          </w:tcPr>
          <w:p w:rsidR="008923C2" w:rsidRPr="00E26831" w:rsidRDefault="008923C2" w:rsidP="008923C2">
            <w:pPr>
              <w:pStyle w:val="NoSpacing"/>
            </w:pPr>
          </w:p>
        </w:tc>
      </w:tr>
    </w:tbl>
    <w:p w:rsidR="008E37BF" w:rsidRDefault="008E37BF" w:rsidP="008E37BF">
      <w:pPr>
        <w:pStyle w:val="NoSpacing"/>
        <w:rPr>
          <w:b/>
        </w:rPr>
      </w:pPr>
    </w:p>
    <w:p w:rsidR="008E37BF" w:rsidRPr="00BD6E16" w:rsidRDefault="008E37BF" w:rsidP="008E37BF">
      <w:pPr>
        <w:pStyle w:val="NoSpacing"/>
        <w:rPr>
          <w:b/>
        </w:rPr>
      </w:pPr>
      <w:r>
        <w:rPr>
          <w:b/>
        </w:rPr>
        <w:t>Version control</w:t>
      </w:r>
    </w:p>
    <w:tbl>
      <w:tblPr>
        <w:tblStyle w:val="TableGrid"/>
        <w:tblW w:w="0" w:type="auto"/>
        <w:tblLook w:val="04A0" w:firstRow="1" w:lastRow="0" w:firstColumn="1" w:lastColumn="0" w:noHBand="0" w:noVBand="1"/>
      </w:tblPr>
      <w:tblGrid>
        <w:gridCol w:w="1998"/>
        <w:gridCol w:w="1530"/>
        <w:gridCol w:w="2880"/>
        <w:gridCol w:w="3168"/>
      </w:tblGrid>
      <w:tr w:rsidR="008E37BF" w:rsidRPr="00BD6E16" w:rsidTr="00CF6298">
        <w:tc>
          <w:tcPr>
            <w:tcW w:w="1998" w:type="dxa"/>
          </w:tcPr>
          <w:p w:rsidR="008E37BF" w:rsidRPr="00BD6E16" w:rsidRDefault="008E37BF" w:rsidP="00CF6298">
            <w:pPr>
              <w:tabs>
                <w:tab w:val="left" w:pos="200"/>
                <w:tab w:val="center" w:pos="1089"/>
              </w:tabs>
              <w:jc w:val="center"/>
              <w:rPr>
                <w:b/>
              </w:rPr>
            </w:pPr>
            <w:r w:rsidRPr="00BD6E16">
              <w:rPr>
                <w:b/>
              </w:rPr>
              <w:t>Version</w:t>
            </w:r>
          </w:p>
        </w:tc>
        <w:tc>
          <w:tcPr>
            <w:tcW w:w="1530" w:type="dxa"/>
          </w:tcPr>
          <w:p w:rsidR="008E37BF" w:rsidRPr="00BD6E16" w:rsidRDefault="008E37BF" w:rsidP="00CF6298">
            <w:pPr>
              <w:jc w:val="center"/>
              <w:rPr>
                <w:b/>
              </w:rPr>
            </w:pPr>
            <w:r w:rsidRPr="00BD6E16">
              <w:rPr>
                <w:b/>
              </w:rPr>
              <w:t>Effective Date</w:t>
            </w:r>
          </w:p>
        </w:tc>
        <w:tc>
          <w:tcPr>
            <w:tcW w:w="2880" w:type="dxa"/>
          </w:tcPr>
          <w:p w:rsidR="008E37BF" w:rsidRPr="00BD6E16" w:rsidRDefault="008E37BF" w:rsidP="00CF6298">
            <w:pPr>
              <w:jc w:val="center"/>
              <w:rPr>
                <w:b/>
              </w:rPr>
            </w:pPr>
            <w:r w:rsidRPr="00BD6E16">
              <w:rPr>
                <w:b/>
              </w:rPr>
              <w:t>Author</w:t>
            </w:r>
          </w:p>
        </w:tc>
        <w:tc>
          <w:tcPr>
            <w:tcW w:w="3168" w:type="dxa"/>
          </w:tcPr>
          <w:p w:rsidR="008E37BF" w:rsidRPr="00BD6E16" w:rsidRDefault="008E37BF" w:rsidP="00CF6298">
            <w:pPr>
              <w:jc w:val="center"/>
              <w:rPr>
                <w:b/>
              </w:rPr>
            </w:pPr>
            <w:r w:rsidRPr="00BD6E16">
              <w:rPr>
                <w:b/>
              </w:rPr>
              <w:t>Description of Change</w:t>
            </w:r>
          </w:p>
        </w:tc>
      </w:tr>
      <w:tr w:rsidR="008E37BF" w:rsidTr="00CF6298">
        <w:tc>
          <w:tcPr>
            <w:tcW w:w="1998" w:type="dxa"/>
          </w:tcPr>
          <w:p w:rsidR="008E37BF" w:rsidRDefault="00F85EAF" w:rsidP="00CF6298">
            <w:r>
              <w:t>1</w:t>
            </w:r>
          </w:p>
        </w:tc>
        <w:tc>
          <w:tcPr>
            <w:tcW w:w="1530" w:type="dxa"/>
          </w:tcPr>
          <w:p w:rsidR="008E37BF" w:rsidRDefault="009C02B8" w:rsidP="009C02B8">
            <w:r>
              <w:t>12/21/</w:t>
            </w:r>
            <w:r w:rsidR="000074FF">
              <w:t>2017</w:t>
            </w:r>
          </w:p>
        </w:tc>
        <w:tc>
          <w:tcPr>
            <w:tcW w:w="2880" w:type="dxa"/>
          </w:tcPr>
          <w:p w:rsidR="008E37BF" w:rsidRDefault="008E37BF" w:rsidP="00CF6298"/>
        </w:tc>
        <w:tc>
          <w:tcPr>
            <w:tcW w:w="3168" w:type="dxa"/>
          </w:tcPr>
          <w:p w:rsidR="008E37BF" w:rsidRDefault="00F85EAF" w:rsidP="00CF6298">
            <w:r>
              <w:t>Original</w:t>
            </w:r>
          </w:p>
        </w:tc>
      </w:tr>
      <w:tr w:rsidR="008E37BF" w:rsidTr="00CF6298">
        <w:tc>
          <w:tcPr>
            <w:tcW w:w="1998" w:type="dxa"/>
          </w:tcPr>
          <w:p w:rsidR="008E37BF" w:rsidRDefault="008E37BF" w:rsidP="00CF6298"/>
        </w:tc>
        <w:tc>
          <w:tcPr>
            <w:tcW w:w="1530" w:type="dxa"/>
          </w:tcPr>
          <w:p w:rsidR="008E37BF" w:rsidRDefault="008E37BF" w:rsidP="00CF6298"/>
        </w:tc>
        <w:tc>
          <w:tcPr>
            <w:tcW w:w="2880" w:type="dxa"/>
          </w:tcPr>
          <w:p w:rsidR="008E37BF" w:rsidRDefault="008E37BF" w:rsidP="00CF6298"/>
        </w:tc>
        <w:tc>
          <w:tcPr>
            <w:tcW w:w="3168" w:type="dxa"/>
          </w:tcPr>
          <w:p w:rsidR="008E37BF" w:rsidRDefault="008E37BF" w:rsidP="00CF6298"/>
        </w:tc>
      </w:tr>
    </w:tbl>
    <w:p w:rsidR="008E37BF" w:rsidRPr="008923C2" w:rsidRDefault="008E37BF">
      <w:pPr>
        <w:pStyle w:val="NoSpacing"/>
        <w:rPr>
          <w:b/>
        </w:rPr>
      </w:pPr>
    </w:p>
    <w:sectPr w:rsidR="008E37BF" w:rsidRPr="008923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D1E" w:rsidRDefault="009E5D1E" w:rsidP="00232532">
      <w:pPr>
        <w:spacing w:after="0" w:line="240" w:lineRule="auto"/>
      </w:pPr>
      <w:r>
        <w:separator/>
      </w:r>
    </w:p>
  </w:endnote>
  <w:endnote w:type="continuationSeparator" w:id="0">
    <w:p w:rsidR="009E5D1E" w:rsidRDefault="009E5D1E" w:rsidP="0023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DF" w:rsidRDefault="00AE2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DF" w:rsidRDefault="00AE2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DF" w:rsidRDefault="00AE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D1E" w:rsidRDefault="009E5D1E" w:rsidP="00232532">
      <w:pPr>
        <w:spacing w:after="0" w:line="240" w:lineRule="auto"/>
      </w:pPr>
      <w:r>
        <w:separator/>
      </w:r>
    </w:p>
  </w:footnote>
  <w:footnote w:type="continuationSeparator" w:id="0">
    <w:p w:rsidR="009E5D1E" w:rsidRDefault="009E5D1E" w:rsidP="0023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DF" w:rsidRDefault="00AE2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32" w:rsidRDefault="00232532">
    <w:pPr>
      <w:pStyle w:val="Header"/>
    </w:pPr>
  </w:p>
  <w:p w:rsidR="00B37282" w:rsidRPr="00B37282" w:rsidRDefault="00012170" w:rsidP="00B37282">
    <w:pPr>
      <w:pStyle w:val="CM3"/>
      <w:spacing w:after="0"/>
      <w:jc w:val="center"/>
      <w:rPr>
        <w:sz w:val="18"/>
        <w:szCs w:val="18"/>
      </w:rPr>
    </w:pPr>
    <w:r w:rsidRPr="00012170">
      <w:rPr>
        <w:rFonts w:ascii="Noto Serif" w:hAnsi="Noto Serif"/>
        <w:b/>
        <w:noProof/>
        <w:color w:val="141313"/>
        <w:sz w:val="20"/>
        <w:szCs w:val="20"/>
      </w:rPr>
      <w:drawing>
        <wp:anchor distT="0" distB="0" distL="114300" distR="114300" simplePos="0" relativeHeight="251657216" behindDoc="0" locked="1" layoutInCell="1" allowOverlap="0" wp14:anchorId="7CEC6E3C" wp14:editId="154E00BE">
          <wp:simplePos x="0" y="0"/>
          <wp:positionH relativeFrom="column">
            <wp:posOffset>19050</wp:posOffset>
          </wp:positionH>
          <wp:positionV relativeFrom="paragraph">
            <wp:posOffset>-513715</wp:posOffset>
          </wp:positionV>
          <wp:extent cx="41910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a:extLst>
                      <a:ext uri="{28A0092B-C50C-407E-A947-70E740481C1C}">
                        <a14:useLocalDpi xmlns:a14="http://schemas.microsoft.com/office/drawing/2010/main" val="0"/>
                      </a:ext>
                    </a:extLst>
                  </a:blip>
                  <a:stretch>
                    <a:fillRect/>
                  </a:stretch>
                </pic:blipFill>
                <pic:spPr>
                  <a:xfrm>
                    <a:off x="0" y="0"/>
                    <a:ext cx="419100" cy="716915"/>
                  </a:xfrm>
                  <a:prstGeom prst="rect">
                    <a:avLst/>
                  </a:prstGeom>
                </pic:spPr>
              </pic:pic>
            </a:graphicData>
          </a:graphic>
          <wp14:sizeRelH relativeFrom="page">
            <wp14:pctWidth>0</wp14:pctWidth>
          </wp14:sizeRelH>
          <wp14:sizeRelV relativeFrom="page">
            <wp14:pctHeight>0</wp14:pctHeight>
          </wp14:sizeRelV>
        </wp:anchor>
      </w:drawing>
    </w:r>
    <w:r w:rsidRPr="00012170">
      <w:rPr>
        <w:b/>
        <w:sz w:val="21"/>
        <w:szCs w:val="21"/>
      </w:rPr>
      <w:t>School of Medicine Polic</w:t>
    </w:r>
    <w:r w:rsidR="00B37282">
      <w:rPr>
        <w:b/>
        <w:sz w:val="21"/>
        <w:szCs w:val="21"/>
      </w:rPr>
      <w:t>y</w:t>
    </w:r>
  </w:p>
  <w:p w:rsidR="0084006A" w:rsidRPr="0084006A" w:rsidRDefault="00B37282" w:rsidP="0084006A">
    <w:pPr>
      <w:pStyle w:val="CM3"/>
      <w:spacing w:after="0"/>
      <w:jc w:val="right"/>
      <w:rPr>
        <w:sz w:val="18"/>
        <w:szCs w:val="18"/>
      </w:rPr>
    </w:pPr>
    <w:r w:rsidRPr="00B37282">
      <w:rPr>
        <w:sz w:val="18"/>
        <w:szCs w:val="18"/>
      </w:rPr>
      <w:t>Policy Number:</w:t>
    </w:r>
    <w:r w:rsidR="00AE2FDF">
      <w:rPr>
        <w:sz w:val="18"/>
        <w:szCs w:val="18"/>
      </w:rPr>
      <w:t xml:space="preserve"> GME 14</w:t>
    </w:r>
  </w:p>
  <w:p w:rsidR="007D3163" w:rsidRPr="007D3163" w:rsidRDefault="00B37282" w:rsidP="00F35F1F">
    <w:pPr>
      <w:pStyle w:val="CM3"/>
      <w:spacing w:after="0"/>
      <w:jc w:val="right"/>
      <w:rPr>
        <w:sz w:val="18"/>
        <w:szCs w:val="18"/>
      </w:rPr>
    </w:pPr>
    <w:r w:rsidRPr="00B37282">
      <w:rPr>
        <w:sz w:val="18"/>
        <w:szCs w:val="18"/>
      </w:rPr>
      <w:t>Effective Date:</w:t>
    </w:r>
    <w:r w:rsidR="00F35F1F">
      <w:rPr>
        <w:sz w:val="18"/>
        <w:szCs w:val="18"/>
      </w:rPr>
      <w:t xml:space="preserve"> </w:t>
    </w:r>
    <w:r w:rsidR="009C02B8">
      <w:rPr>
        <w:sz w:val="18"/>
        <w:szCs w:val="18"/>
      </w:rPr>
      <w:t>12/21</w:t>
    </w:r>
    <w:r w:rsidR="000074FF">
      <w:rPr>
        <w:sz w:val="18"/>
        <w:szCs w:val="18"/>
      </w:rPr>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DF" w:rsidRDefault="00AE2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37B"/>
    <w:multiLevelType w:val="hybridMultilevel"/>
    <w:tmpl w:val="5CF0DF78"/>
    <w:lvl w:ilvl="0" w:tplc="E75E9F8C">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3B29"/>
    <w:multiLevelType w:val="hybridMultilevel"/>
    <w:tmpl w:val="85F456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8096B9E"/>
    <w:multiLevelType w:val="hybridMultilevel"/>
    <w:tmpl w:val="9A84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481F"/>
    <w:multiLevelType w:val="hybridMultilevel"/>
    <w:tmpl w:val="10AC0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70E6"/>
    <w:multiLevelType w:val="hybridMultilevel"/>
    <w:tmpl w:val="F54E3C44"/>
    <w:lvl w:ilvl="0" w:tplc="6046D8D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CF4574"/>
    <w:multiLevelType w:val="hybridMultilevel"/>
    <w:tmpl w:val="5B2646EC"/>
    <w:lvl w:ilvl="0" w:tplc="0409000F">
      <w:start w:val="1"/>
      <w:numFmt w:val="decimal"/>
      <w:lvlText w:val="%1."/>
      <w:lvlJc w:val="left"/>
      <w:pPr>
        <w:ind w:left="720" w:hanging="360"/>
      </w:pPr>
      <w:rPr>
        <w:rFonts w:hint="default"/>
      </w:rPr>
    </w:lvl>
    <w:lvl w:ilvl="1" w:tplc="450060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34F7B"/>
    <w:multiLevelType w:val="hybridMultilevel"/>
    <w:tmpl w:val="9C24A7F2"/>
    <w:lvl w:ilvl="0" w:tplc="17986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E4B9F"/>
    <w:multiLevelType w:val="hybridMultilevel"/>
    <w:tmpl w:val="B4FCB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BE371C"/>
    <w:multiLevelType w:val="hybridMultilevel"/>
    <w:tmpl w:val="6A32785A"/>
    <w:lvl w:ilvl="0" w:tplc="60F63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B72E9"/>
    <w:multiLevelType w:val="hybridMultilevel"/>
    <w:tmpl w:val="6E4E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47C8D"/>
    <w:multiLevelType w:val="hybridMultilevel"/>
    <w:tmpl w:val="526EB3CC"/>
    <w:lvl w:ilvl="0" w:tplc="83387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51B4F"/>
    <w:multiLevelType w:val="hybridMultilevel"/>
    <w:tmpl w:val="49440B6E"/>
    <w:lvl w:ilvl="0" w:tplc="0409000F">
      <w:start w:val="1"/>
      <w:numFmt w:val="decimal"/>
      <w:lvlText w:val="%1."/>
      <w:lvlJc w:val="left"/>
      <w:pPr>
        <w:ind w:left="720" w:hanging="360"/>
      </w:pPr>
    </w:lvl>
    <w:lvl w:ilvl="1" w:tplc="CA084F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D264F"/>
    <w:multiLevelType w:val="hybridMultilevel"/>
    <w:tmpl w:val="377E5552"/>
    <w:lvl w:ilvl="0" w:tplc="7020131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E7EDF"/>
    <w:multiLevelType w:val="hybridMultilevel"/>
    <w:tmpl w:val="2E94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F5D99"/>
    <w:multiLevelType w:val="hybridMultilevel"/>
    <w:tmpl w:val="8634093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80D89"/>
    <w:multiLevelType w:val="hybridMultilevel"/>
    <w:tmpl w:val="F17C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00C8A"/>
    <w:multiLevelType w:val="hybridMultilevel"/>
    <w:tmpl w:val="974A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73A2F"/>
    <w:multiLevelType w:val="hybridMultilevel"/>
    <w:tmpl w:val="11788538"/>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D085F"/>
    <w:multiLevelType w:val="hybridMultilevel"/>
    <w:tmpl w:val="2CDAFD0E"/>
    <w:lvl w:ilvl="0" w:tplc="4E28A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556DAD"/>
    <w:multiLevelType w:val="hybridMultilevel"/>
    <w:tmpl w:val="98BAC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B39A7"/>
    <w:multiLevelType w:val="hybridMultilevel"/>
    <w:tmpl w:val="DE949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9B203B"/>
    <w:multiLevelType w:val="hybridMultilevel"/>
    <w:tmpl w:val="6C7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44156"/>
    <w:multiLevelType w:val="hybridMultilevel"/>
    <w:tmpl w:val="62EC4E7A"/>
    <w:lvl w:ilvl="0" w:tplc="E75E9F8C">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24853"/>
    <w:multiLevelType w:val="hybridMultilevel"/>
    <w:tmpl w:val="7BA02104"/>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8138F"/>
    <w:multiLevelType w:val="hybridMultilevel"/>
    <w:tmpl w:val="F5F4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C31A4"/>
    <w:multiLevelType w:val="hybridMultilevel"/>
    <w:tmpl w:val="3C56F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54261"/>
    <w:multiLevelType w:val="hybridMultilevel"/>
    <w:tmpl w:val="5868F8DE"/>
    <w:lvl w:ilvl="0" w:tplc="E75E9F8C">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D4ECE"/>
    <w:multiLevelType w:val="hybridMultilevel"/>
    <w:tmpl w:val="0D083092"/>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6"/>
  </w:num>
  <w:num w:numId="4">
    <w:abstractNumId w:val="9"/>
  </w:num>
  <w:num w:numId="5">
    <w:abstractNumId w:val="24"/>
  </w:num>
  <w:num w:numId="6">
    <w:abstractNumId w:val="3"/>
  </w:num>
  <w:num w:numId="7">
    <w:abstractNumId w:val="5"/>
  </w:num>
  <w:num w:numId="8">
    <w:abstractNumId w:val="14"/>
  </w:num>
  <w:num w:numId="9">
    <w:abstractNumId w:val="13"/>
  </w:num>
  <w:num w:numId="10">
    <w:abstractNumId w:val="17"/>
  </w:num>
  <w:num w:numId="11">
    <w:abstractNumId w:val="27"/>
  </w:num>
  <w:num w:numId="12">
    <w:abstractNumId w:val="23"/>
  </w:num>
  <w:num w:numId="13">
    <w:abstractNumId w:val="15"/>
  </w:num>
  <w:num w:numId="14">
    <w:abstractNumId w:val="26"/>
  </w:num>
  <w:num w:numId="15">
    <w:abstractNumId w:val="22"/>
  </w:num>
  <w:num w:numId="16">
    <w:abstractNumId w:val="0"/>
  </w:num>
  <w:num w:numId="17">
    <w:abstractNumId w:val="11"/>
  </w:num>
  <w:num w:numId="18">
    <w:abstractNumId w:val="2"/>
  </w:num>
  <w:num w:numId="19">
    <w:abstractNumId w:val="12"/>
  </w:num>
  <w:num w:numId="20">
    <w:abstractNumId w:val="19"/>
  </w:num>
  <w:num w:numId="21">
    <w:abstractNumId w:val="8"/>
  </w:num>
  <w:num w:numId="22">
    <w:abstractNumId w:val="7"/>
  </w:num>
  <w:num w:numId="23">
    <w:abstractNumId w:val="10"/>
  </w:num>
  <w:num w:numId="24">
    <w:abstractNumId w:val="20"/>
  </w:num>
  <w:num w:numId="25">
    <w:abstractNumId w:val="25"/>
  </w:num>
  <w:num w:numId="26">
    <w:abstractNumId w:val="4"/>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532"/>
    <w:rsid w:val="00005FFF"/>
    <w:rsid w:val="000074FF"/>
    <w:rsid w:val="00012170"/>
    <w:rsid w:val="00042409"/>
    <w:rsid w:val="00042C60"/>
    <w:rsid w:val="00093D3F"/>
    <w:rsid w:val="00124A5C"/>
    <w:rsid w:val="00134525"/>
    <w:rsid w:val="001B3070"/>
    <w:rsid w:val="001B6C37"/>
    <w:rsid w:val="001C2990"/>
    <w:rsid w:val="001E06D6"/>
    <w:rsid w:val="00232532"/>
    <w:rsid w:val="00243184"/>
    <w:rsid w:val="00287EBE"/>
    <w:rsid w:val="00333105"/>
    <w:rsid w:val="00340681"/>
    <w:rsid w:val="00346ECF"/>
    <w:rsid w:val="003A7964"/>
    <w:rsid w:val="00461030"/>
    <w:rsid w:val="00511934"/>
    <w:rsid w:val="0052371E"/>
    <w:rsid w:val="005951EC"/>
    <w:rsid w:val="005F4862"/>
    <w:rsid w:val="006109AA"/>
    <w:rsid w:val="00632934"/>
    <w:rsid w:val="0065752E"/>
    <w:rsid w:val="006834E4"/>
    <w:rsid w:val="006902C4"/>
    <w:rsid w:val="006A0B58"/>
    <w:rsid w:val="007813FD"/>
    <w:rsid w:val="007C3266"/>
    <w:rsid w:val="007D3163"/>
    <w:rsid w:val="00811CED"/>
    <w:rsid w:val="00823E7A"/>
    <w:rsid w:val="00824DA4"/>
    <w:rsid w:val="0084006A"/>
    <w:rsid w:val="00891642"/>
    <w:rsid w:val="008923C2"/>
    <w:rsid w:val="008B6B71"/>
    <w:rsid w:val="008E37BF"/>
    <w:rsid w:val="008F0F72"/>
    <w:rsid w:val="00922837"/>
    <w:rsid w:val="00933209"/>
    <w:rsid w:val="00933257"/>
    <w:rsid w:val="009C02B8"/>
    <w:rsid w:val="009C19CE"/>
    <w:rsid w:val="009E0F0E"/>
    <w:rsid w:val="009E5D1E"/>
    <w:rsid w:val="00A34F47"/>
    <w:rsid w:val="00AE2FDF"/>
    <w:rsid w:val="00B130BD"/>
    <w:rsid w:val="00B13640"/>
    <w:rsid w:val="00B37282"/>
    <w:rsid w:val="00B61CA4"/>
    <w:rsid w:val="00BD0EE8"/>
    <w:rsid w:val="00BD6E16"/>
    <w:rsid w:val="00BF0F01"/>
    <w:rsid w:val="00C60EE9"/>
    <w:rsid w:val="00CD08A1"/>
    <w:rsid w:val="00D11EFF"/>
    <w:rsid w:val="00D602E2"/>
    <w:rsid w:val="00D84D5F"/>
    <w:rsid w:val="00D85D36"/>
    <w:rsid w:val="00D86579"/>
    <w:rsid w:val="00D906C1"/>
    <w:rsid w:val="00DD4DEC"/>
    <w:rsid w:val="00DE7B05"/>
    <w:rsid w:val="00E07ED5"/>
    <w:rsid w:val="00E10BEB"/>
    <w:rsid w:val="00E26831"/>
    <w:rsid w:val="00E940FF"/>
    <w:rsid w:val="00F35F1F"/>
    <w:rsid w:val="00F56D2B"/>
    <w:rsid w:val="00F70786"/>
    <w:rsid w:val="00F7698F"/>
    <w:rsid w:val="00F85EAF"/>
    <w:rsid w:val="00FA41A4"/>
    <w:rsid w:val="00FE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ADDAF60-B81A-4166-98BF-7D9DC30D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32"/>
  </w:style>
  <w:style w:type="paragraph" w:styleId="Footer">
    <w:name w:val="footer"/>
    <w:basedOn w:val="Normal"/>
    <w:link w:val="FooterChar"/>
    <w:uiPriority w:val="99"/>
    <w:unhideWhenUsed/>
    <w:rsid w:val="00232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32"/>
  </w:style>
  <w:style w:type="paragraph" w:styleId="BalloonText">
    <w:name w:val="Balloon Text"/>
    <w:basedOn w:val="Normal"/>
    <w:link w:val="BalloonTextChar"/>
    <w:uiPriority w:val="99"/>
    <w:semiHidden/>
    <w:unhideWhenUsed/>
    <w:rsid w:val="0023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32"/>
    <w:rPr>
      <w:rFonts w:ascii="Tahoma" w:hAnsi="Tahoma" w:cs="Tahoma"/>
      <w:sz w:val="16"/>
      <w:szCs w:val="16"/>
    </w:rPr>
  </w:style>
  <w:style w:type="paragraph" w:customStyle="1" w:styleId="CM3">
    <w:name w:val="CM3"/>
    <w:basedOn w:val="Normal"/>
    <w:next w:val="Normal"/>
    <w:rsid w:val="00232532"/>
    <w:pPr>
      <w:widowControl w:val="0"/>
      <w:autoSpaceDE w:val="0"/>
      <w:autoSpaceDN w:val="0"/>
      <w:adjustRightInd w:val="0"/>
      <w:spacing w:after="168" w:line="240" w:lineRule="auto"/>
    </w:pPr>
    <w:rPr>
      <w:rFonts w:ascii="Myriad Pro" w:eastAsia="Times New Roman" w:hAnsi="Myriad Pro" w:cs="Myriad Pro"/>
      <w:sz w:val="24"/>
      <w:szCs w:val="24"/>
    </w:rPr>
  </w:style>
  <w:style w:type="table" w:styleId="TableGrid">
    <w:name w:val="Table Grid"/>
    <w:basedOn w:val="TableNormal"/>
    <w:uiPriority w:val="59"/>
    <w:rsid w:val="00BD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6E16"/>
    <w:pPr>
      <w:spacing w:after="0" w:line="240" w:lineRule="auto"/>
    </w:pPr>
  </w:style>
  <w:style w:type="character" w:styleId="Hyperlink">
    <w:name w:val="Hyperlink"/>
    <w:basedOn w:val="DefaultParagraphFont"/>
    <w:uiPriority w:val="99"/>
    <w:unhideWhenUsed/>
    <w:rsid w:val="00287EBE"/>
    <w:rPr>
      <w:color w:val="0000FF" w:themeColor="hyperlink"/>
      <w:u w:val="single"/>
    </w:rPr>
  </w:style>
  <w:style w:type="character" w:customStyle="1" w:styleId="Heading1Char">
    <w:name w:val="Heading 1 Char"/>
    <w:basedOn w:val="DefaultParagraphFont"/>
    <w:link w:val="Heading1"/>
    <w:uiPriority w:val="9"/>
    <w:rsid w:val="00287E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42C60"/>
    <w:rPr>
      <w:sz w:val="16"/>
      <w:szCs w:val="16"/>
    </w:rPr>
  </w:style>
  <w:style w:type="paragraph" w:styleId="CommentText">
    <w:name w:val="annotation text"/>
    <w:basedOn w:val="Normal"/>
    <w:link w:val="CommentTextChar"/>
    <w:uiPriority w:val="99"/>
    <w:semiHidden/>
    <w:unhideWhenUsed/>
    <w:rsid w:val="00042C60"/>
    <w:pPr>
      <w:spacing w:line="240" w:lineRule="auto"/>
    </w:pPr>
    <w:rPr>
      <w:sz w:val="20"/>
      <w:szCs w:val="20"/>
    </w:rPr>
  </w:style>
  <w:style w:type="character" w:customStyle="1" w:styleId="CommentTextChar">
    <w:name w:val="Comment Text Char"/>
    <w:basedOn w:val="DefaultParagraphFont"/>
    <w:link w:val="CommentText"/>
    <w:uiPriority w:val="99"/>
    <w:semiHidden/>
    <w:rsid w:val="00042C60"/>
    <w:rPr>
      <w:sz w:val="20"/>
      <w:szCs w:val="20"/>
    </w:rPr>
  </w:style>
  <w:style w:type="paragraph" w:styleId="CommentSubject">
    <w:name w:val="annotation subject"/>
    <w:basedOn w:val="CommentText"/>
    <w:next w:val="CommentText"/>
    <w:link w:val="CommentSubjectChar"/>
    <w:uiPriority w:val="99"/>
    <w:semiHidden/>
    <w:unhideWhenUsed/>
    <w:rsid w:val="00042C60"/>
    <w:rPr>
      <w:b/>
      <w:bCs/>
    </w:rPr>
  </w:style>
  <w:style w:type="character" w:customStyle="1" w:styleId="CommentSubjectChar">
    <w:name w:val="Comment Subject Char"/>
    <w:basedOn w:val="CommentTextChar"/>
    <w:link w:val="CommentSubject"/>
    <w:uiPriority w:val="99"/>
    <w:semiHidden/>
    <w:rsid w:val="00042C60"/>
    <w:rPr>
      <w:b/>
      <w:bCs/>
      <w:sz w:val="20"/>
      <w:szCs w:val="20"/>
    </w:rPr>
  </w:style>
  <w:style w:type="character" w:styleId="FollowedHyperlink">
    <w:name w:val="FollowedHyperlink"/>
    <w:basedOn w:val="DefaultParagraphFont"/>
    <w:uiPriority w:val="99"/>
    <w:semiHidden/>
    <w:unhideWhenUsed/>
    <w:rsid w:val="008B6B71"/>
    <w:rPr>
      <w:color w:val="800080" w:themeColor="followedHyperlink"/>
      <w:u w:val="single"/>
    </w:rPr>
  </w:style>
  <w:style w:type="paragraph" w:styleId="ListParagraph">
    <w:name w:val="List Paragraph"/>
    <w:basedOn w:val="Normal"/>
    <w:uiPriority w:val="34"/>
    <w:qFormat/>
    <w:rsid w:val="00933257"/>
    <w:pPr>
      <w:ind w:left="720"/>
      <w:contextualSpacing/>
    </w:pPr>
  </w:style>
  <w:style w:type="paragraph" w:styleId="BodyText">
    <w:name w:val="Body Text"/>
    <w:basedOn w:val="Normal"/>
    <w:link w:val="BodyTextChar"/>
    <w:semiHidden/>
    <w:rsid w:val="00DE7B05"/>
    <w:pPr>
      <w:widowControl w:val="0"/>
      <w:autoSpaceDE w:val="0"/>
      <w:autoSpaceDN w:val="0"/>
      <w:adjustRightInd w:val="0"/>
      <w:spacing w:after="0" w:line="240" w:lineRule="auto"/>
    </w:pPr>
    <w:rPr>
      <w:rFonts w:ascii="CG Times" w:eastAsia="Times New Roman" w:hAnsi="CG Times" w:cs="Times New Roman"/>
      <w:szCs w:val="24"/>
    </w:rPr>
  </w:style>
  <w:style w:type="character" w:customStyle="1" w:styleId="BodyTextChar">
    <w:name w:val="Body Text Char"/>
    <w:basedOn w:val="DefaultParagraphFont"/>
    <w:link w:val="BodyText"/>
    <w:semiHidden/>
    <w:rsid w:val="00DE7B05"/>
    <w:rPr>
      <w:rFonts w:ascii="CG Times" w:eastAsia="Times New Roman" w:hAnsi="CG Times" w:cs="Times New Roman"/>
      <w:szCs w:val="24"/>
    </w:rPr>
  </w:style>
  <w:style w:type="paragraph" w:styleId="NormalWeb">
    <w:name w:val="Normal (Web)"/>
    <w:basedOn w:val="Normal"/>
    <w:unhideWhenUsed/>
    <w:rsid w:val="00F56D2B"/>
    <w:pPr>
      <w:spacing w:before="100" w:beforeAutospacing="1" w:after="100" w:afterAutospacing="1" w:line="240" w:lineRule="auto"/>
    </w:pPr>
    <w:rPr>
      <w:rFonts w:ascii="Times New Roman" w:eastAsia="Times New Roman" w:hAnsi="Times New Roman" w:cs="Times New Roman"/>
      <w:color w:val="0080C0"/>
      <w:sz w:val="24"/>
      <w:szCs w:val="24"/>
    </w:rPr>
  </w:style>
  <w:style w:type="paragraph" w:styleId="PlainText">
    <w:name w:val="Plain Text"/>
    <w:basedOn w:val="Normal"/>
    <w:link w:val="PlainTextChar"/>
    <w:uiPriority w:val="99"/>
    <w:semiHidden/>
    <w:unhideWhenUsed/>
    <w:rsid w:val="006A0B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A0B5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08591">
      <w:bodyDiv w:val="1"/>
      <w:marLeft w:val="0"/>
      <w:marRight w:val="0"/>
      <w:marTop w:val="0"/>
      <w:marBottom w:val="0"/>
      <w:divBdr>
        <w:top w:val="none" w:sz="0" w:space="0" w:color="auto"/>
        <w:left w:val="none" w:sz="0" w:space="0" w:color="auto"/>
        <w:bottom w:val="none" w:sz="0" w:space="0" w:color="auto"/>
        <w:right w:val="none" w:sz="0" w:space="0" w:color="auto"/>
      </w:divBdr>
      <w:divsChild>
        <w:div w:id="1451238966">
          <w:marLeft w:val="0"/>
          <w:marRight w:val="0"/>
          <w:marTop w:val="0"/>
          <w:marBottom w:val="0"/>
          <w:divBdr>
            <w:top w:val="none" w:sz="0" w:space="0" w:color="auto"/>
            <w:left w:val="none" w:sz="0" w:space="0" w:color="auto"/>
            <w:bottom w:val="none" w:sz="0" w:space="0" w:color="auto"/>
            <w:right w:val="none" w:sz="0" w:space="0" w:color="auto"/>
          </w:divBdr>
          <w:divsChild>
            <w:div w:id="454252826">
              <w:marLeft w:val="0"/>
              <w:marRight w:val="0"/>
              <w:marTop w:val="0"/>
              <w:marBottom w:val="0"/>
              <w:divBdr>
                <w:top w:val="none" w:sz="0" w:space="0" w:color="auto"/>
                <w:left w:val="none" w:sz="0" w:space="0" w:color="auto"/>
                <w:bottom w:val="none" w:sz="0" w:space="0" w:color="auto"/>
                <w:right w:val="none" w:sz="0" w:space="0" w:color="auto"/>
              </w:divBdr>
              <w:divsChild>
                <w:div w:id="371267423">
                  <w:marLeft w:val="0"/>
                  <w:marRight w:val="0"/>
                  <w:marTop w:val="0"/>
                  <w:marBottom w:val="0"/>
                  <w:divBdr>
                    <w:top w:val="none" w:sz="0" w:space="0" w:color="auto"/>
                    <w:left w:val="none" w:sz="0" w:space="0" w:color="auto"/>
                    <w:bottom w:val="none" w:sz="0" w:space="0" w:color="auto"/>
                    <w:right w:val="none" w:sz="0" w:space="0" w:color="auto"/>
                  </w:divBdr>
                  <w:divsChild>
                    <w:div w:id="863979856">
                      <w:marLeft w:val="0"/>
                      <w:marRight w:val="0"/>
                      <w:marTop w:val="0"/>
                      <w:marBottom w:val="0"/>
                      <w:divBdr>
                        <w:top w:val="none" w:sz="0" w:space="0" w:color="auto"/>
                        <w:left w:val="none" w:sz="0" w:space="0" w:color="auto"/>
                        <w:bottom w:val="none" w:sz="0" w:space="0" w:color="auto"/>
                        <w:right w:val="none" w:sz="0" w:space="0" w:color="auto"/>
                      </w:divBdr>
                      <w:divsChild>
                        <w:div w:id="14629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1241">
      <w:bodyDiv w:val="1"/>
      <w:marLeft w:val="0"/>
      <w:marRight w:val="0"/>
      <w:marTop w:val="0"/>
      <w:marBottom w:val="0"/>
      <w:divBdr>
        <w:top w:val="none" w:sz="0" w:space="0" w:color="auto"/>
        <w:left w:val="none" w:sz="0" w:space="0" w:color="auto"/>
        <w:bottom w:val="none" w:sz="0" w:space="0" w:color="auto"/>
        <w:right w:val="none" w:sz="0" w:space="0" w:color="auto"/>
      </w:divBdr>
      <w:divsChild>
        <w:div w:id="1294410447">
          <w:marLeft w:val="0"/>
          <w:marRight w:val="0"/>
          <w:marTop w:val="0"/>
          <w:marBottom w:val="0"/>
          <w:divBdr>
            <w:top w:val="none" w:sz="0" w:space="0" w:color="auto"/>
            <w:left w:val="none" w:sz="0" w:space="0" w:color="auto"/>
            <w:bottom w:val="none" w:sz="0" w:space="0" w:color="auto"/>
            <w:right w:val="none" w:sz="0" w:space="0" w:color="auto"/>
          </w:divBdr>
          <w:divsChild>
            <w:div w:id="195511706">
              <w:marLeft w:val="0"/>
              <w:marRight w:val="0"/>
              <w:marTop w:val="0"/>
              <w:marBottom w:val="0"/>
              <w:divBdr>
                <w:top w:val="none" w:sz="0" w:space="0" w:color="auto"/>
                <w:left w:val="none" w:sz="0" w:space="0" w:color="auto"/>
                <w:bottom w:val="none" w:sz="0" w:space="0" w:color="auto"/>
                <w:right w:val="none" w:sz="0" w:space="0" w:color="auto"/>
              </w:divBdr>
              <w:divsChild>
                <w:div w:id="1352226395">
                  <w:marLeft w:val="0"/>
                  <w:marRight w:val="0"/>
                  <w:marTop w:val="0"/>
                  <w:marBottom w:val="0"/>
                  <w:divBdr>
                    <w:top w:val="none" w:sz="0" w:space="0" w:color="auto"/>
                    <w:left w:val="none" w:sz="0" w:space="0" w:color="auto"/>
                    <w:bottom w:val="none" w:sz="0" w:space="0" w:color="auto"/>
                    <w:right w:val="none" w:sz="0" w:space="0" w:color="auto"/>
                  </w:divBdr>
                  <w:divsChild>
                    <w:div w:id="207302241">
                      <w:marLeft w:val="0"/>
                      <w:marRight w:val="0"/>
                      <w:marTop w:val="0"/>
                      <w:marBottom w:val="0"/>
                      <w:divBdr>
                        <w:top w:val="none" w:sz="0" w:space="0" w:color="auto"/>
                        <w:left w:val="none" w:sz="0" w:space="0" w:color="auto"/>
                        <w:bottom w:val="none" w:sz="0" w:space="0" w:color="auto"/>
                        <w:right w:val="none" w:sz="0" w:space="0" w:color="auto"/>
                      </w:divBdr>
                      <w:divsChild>
                        <w:div w:id="332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Villagomez</dc:creator>
  <cp:lastModifiedBy>Emily Gaudin</cp:lastModifiedBy>
  <cp:revision>4</cp:revision>
  <cp:lastPrinted>2017-10-17T19:48:00Z</cp:lastPrinted>
  <dcterms:created xsi:type="dcterms:W3CDTF">2018-05-11T21:23:00Z</dcterms:created>
  <dcterms:modified xsi:type="dcterms:W3CDTF">2023-12-08T14:33:00Z</dcterms:modified>
</cp:coreProperties>
</file>