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747B5" w14:textId="7DD4E646" w:rsidR="002D68FC" w:rsidRPr="00DB0FDE" w:rsidRDefault="008100EA" w:rsidP="00DB0FDE">
      <w:pPr>
        <w:pStyle w:val="Title"/>
        <w:rPr>
          <w:sz w:val="48"/>
          <w:szCs w:val="48"/>
        </w:rPr>
      </w:pPr>
      <w:r>
        <w:rPr>
          <w:sz w:val="48"/>
          <w:szCs w:val="48"/>
        </w:rPr>
        <w:t>Guidance for 21 CFR Part 11 Compliance</w:t>
      </w:r>
    </w:p>
    <w:p w14:paraId="59DE1940" w14:textId="7EAE6AF4" w:rsidR="008100EA" w:rsidRPr="003D74E4" w:rsidRDefault="008100EA" w:rsidP="008100EA">
      <w:pPr>
        <w:jc w:val="center"/>
        <w:rPr>
          <w:rFonts w:cstheme="minorHAnsi"/>
          <w:b/>
          <w:u w:val="single"/>
        </w:rPr>
      </w:pPr>
    </w:p>
    <w:p w14:paraId="387B82CB" w14:textId="77777777" w:rsidR="008100EA" w:rsidRPr="003D74E4" w:rsidRDefault="008100EA" w:rsidP="008100EA">
      <w:pPr>
        <w:pStyle w:val="Heading1"/>
      </w:pPr>
      <w:r w:rsidRPr="003D74E4">
        <w:t>What is 21 CFR Part 11?</w:t>
      </w:r>
    </w:p>
    <w:p w14:paraId="755577B7" w14:textId="77777777" w:rsidR="008100EA" w:rsidRPr="003D74E4" w:rsidRDefault="008100EA" w:rsidP="008100EA">
      <w:pPr>
        <w:rPr>
          <w:rFonts w:cstheme="minorHAnsi"/>
        </w:rPr>
      </w:pPr>
      <w:r w:rsidRPr="003D74E4">
        <w:rPr>
          <w:rFonts w:cstheme="minorHAnsi"/>
        </w:rPr>
        <w:t xml:space="preserve">CFR (Code of Federal Regulations) - Title 21 (Food and Drugs) - Chapter 1 (Food and Drug Administration, Department of Health and Human Services), Subchapter A (General) - </w:t>
      </w:r>
      <w:hyperlink r:id="rId10" w:history="1">
        <w:r w:rsidRPr="003D74E4">
          <w:rPr>
            <w:rStyle w:val="Hyperlink"/>
            <w:rFonts w:cstheme="minorHAnsi"/>
          </w:rPr>
          <w:t>Part 11 (Electronic records; electronic signatures)</w:t>
        </w:r>
      </w:hyperlink>
    </w:p>
    <w:p w14:paraId="6ADE9CBE" w14:textId="41174A29" w:rsidR="008100EA" w:rsidRDefault="008100EA" w:rsidP="008100EA">
      <w:pPr>
        <w:rPr>
          <w:rFonts w:cstheme="minorHAnsi"/>
        </w:rPr>
      </w:pPr>
      <w:r w:rsidRPr="003D74E4">
        <w:rPr>
          <w:rFonts w:cstheme="minorHAnsi"/>
        </w:rPr>
        <w:t xml:space="preserve">This applies to electronic records and electronic signatures that are part of projects regulated by the FDA, including </w:t>
      </w:r>
      <w:r>
        <w:rPr>
          <w:rFonts w:cstheme="minorHAnsi"/>
        </w:rPr>
        <w:t xml:space="preserve">but not limited to </w:t>
      </w:r>
      <w:r w:rsidRPr="003D74E4">
        <w:rPr>
          <w:rFonts w:cstheme="minorHAnsi"/>
        </w:rPr>
        <w:t>studies involving investigational new drug (IND) applications and investigational device exemptions (IDE).</w:t>
      </w:r>
    </w:p>
    <w:p w14:paraId="3584E8C0" w14:textId="77777777" w:rsidR="008100EA" w:rsidRDefault="008100EA" w:rsidP="008100EA">
      <w:pPr>
        <w:rPr>
          <w:rFonts w:cstheme="minorHAnsi"/>
        </w:rPr>
      </w:pPr>
    </w:p>
    <w:p w14:paraId="54CD63A9" w14:textId="64C60EC8" w:rsidR="008100EA" w:rsidRPr="008100EA" w:rsidRDefault="008100EA" w:rsidP="008100EA">
      <w:pPr>
        <w:pStyle w:val="Heading1"/>
      </w:pPr>
      <w:r w:rsidRPr="008100EA">
        <w:t xml:space="preserve">Where to find </w:t>
      </w:r>
      <w:r>
        <w:t>r</w:t>
      </w:r>
      <w:r w:rsidRPr="008100EA">
        <w:t>esources?</w:t>
      </w:r>
    </w:p>
    <w:p w14:paraId="79300933" w14:textId="591AC356" w:rsidR="008100EA" w:rsidRDefault="008100EA" w:rsidP="008100EA">
      <w:pPr>
        <w:rPr>
          <w:rFonts w:cstheme="minorHAnsi"/>
        </w:rPr>
      </w:pPr>
      <w:r>
        <w:rPr>
          <w:rFonts w:cstheme="minorHAnsi"/>
        </w:rPr>
        <w:t>In addition to internal, central resources, there may be non-enterprise</w:t>
      </w:r>
      <w:r w:rsidR="00433A91">
        <w:rPr>
          <w:rFonts w:cstheme="minorHAnsi"/>
        </w:rPr>
        <w:t>-</w:t>
      </w:r>
      <w:r>
        <w:rPr>
          <w:rFonts w:cstheme="minorHAnsi"/>
        </w:rPr>
        <w:t xml:space="preserve">wide solutions </w:t>
      </w:r>
      <w:bookmarkStart w:id="0" w:name="_Hlk140835116"/>
      <w:r w:rsidR="00C4362E">
        <w:rPr>
          <w:rFonts w:cstheme="minorHAnsi"/>
        </w:rPr>
        <w:t>study teams can employ independently</w:t>
      </w:r>
      <w:bookmarkEnd w:id="0"/>
      <w:r>
        <w:rPr>
          <w:rFonts w:cstheme="minorHAnsi"/>
        </w:rPr>
        <w:t xml:space="preserve">.  However, it is important to remember that some systems may be </w:t>
      </w:r>
      <w:r w:rsidR="00C4362E">
        <w:rPr>
          <w:rFonts w:cstheme="minorHAnsi"/>
        </w:rPr>
        <w:t xml:space="preserve">21 </w:t>
      </w:r>
      <w:r>
        <w:rPr>
          <w:rFonts w:cstheme="minorHAnsi"/>
        </w:rPr>
        <w:t xml:space="preserve">CFR Part 11 compliant only with specific workflows.  There are both software and implementation requirements for 21 CFR Part 11 compliance, and it is the responsibility of the research team to ensure compliance is met.  </w:t>
      </w:r>
      <w:bookmarkStart w:id="1" w:name="_Hlk140835127"/>
      <w:r w:rsidR="00C4362E">
        <w:rPr>
          <w:rFonts w:cstheme="minorHAnsi"/>
        </w:rPr>
        <w:t xml:space="preserve">Additionally, any new data systems or tools should go through a security review with ITG.  </w:t>
      </w:r>
      <w:bookmarkEnd w:id="1"/>
      <w:r>
        <w:rPr>
          <w:rFonts w:cstheme="minorHAnsi"/>
        </w:rPr>
        <w:t>Sponsored studies are encouraged to discuss sponsor-owned or funded options</w:t>
      </w:r>
      <w:r w:rsidR="00C4362E">
        <w:rPr>
          <w:rFonts w:cstheme="minorHAnsi"/>
        </w:rPr>
        <w:t xml:space="preserve"> with their sponsor</w:t>
      </w:r>
      <w:r>
        <w:rPr>
          <w:rFonts w:cstheme="minorHAnsi"/>
        </w:rPr>
        <w:t>.</w:t>
      </w:r>
    </w:p>
    <w:p w14:paraId="5B47207D" w14:textId="3B93AFF0" w:rsidR="008100EA" w:rsidRDefault="008100EA" w:rsidP="008100EA">
      <w:pPr>
        <w:rPr>
          <w:rFonts w:cstheme="minorHAnsi"/>
        </w:rPr>
      </w:pPr>
      <w:r>
        <w:rPr>
          <w:rFonts w:cstheme="minorHAnsi"/>
        </w:rPr>
        <w:t>Some general guidance from the FDA can be found at the following sites:</w:t>
      </w:r>
    </w:p>
    <w:p w14:paraId="69412D77" w14:textId="1C5FA0D2" w:rsidR="008100EA" w:rsidRDefault="009D0454" w:rsidP="008100EA">
      <w:pPr>
        <w:pStyle w:val="ListParagraph"/>
        <w:numPr>
          <w:ilvl w:val="0"/>
          <w:numId w:val="20"/>
        </w:numPr>
        <w:rPr>
          <w:rFonts w:cstheme="minorHAnsi"/>
        </w:rPr>
      </w:pPr>
      <w:hyperlink r:id="rId11" w:history="1">
        <w:r w:rsidR="008100EA" w:rsidRPr="008100EA">
          <w:rPr>
            <w:rStyle w:val="Hyperlink"/>
            <w:rFonts w:cstheme="minorHAnsi"/>
          </w:rPr>
          <w:t>FDA Use of Electronic Informed Consent</w:t>
        </w:r>
      </w:hyperlink>
    </w:p>
    <w:p w14:paraId="7F9D94BD" w14:textId="440B1780" w:rsidR="008100EA" w:rsidRPr="008100EA" w:rsidRDefault="009D0454" w:rsidP="008100EA">
      <w:pPr>
        <w:pStyle w:val="ListParagraph"/>
        <w:numPr>
          <w:ilvl w:val="0"/>
          <w:numId w:val="20"/>
        </w:numPr>
        <w:rPr>
          <w:rFonts w:cstheme="minorHAnsi"/>
        </w:rPr>
      </w:pPr>
      <w:hyperlink r:id="rId12" w:history="1">
        <w:r w:rsidR="008100EA" w:rsidRPr="008100EA">
          <w:rPr>
            <w:rStyle w:val="Hyperlink"/>
            <w:rFonts w:cstheme="minorHAnsi"/>
          </w:rPr>
          <w:t>FDA Use of Electronic Health Record Data in Clinical Investigations</w:t>
        </w:r>
      </w:hyperlink>
    </w:p>
    <w:p w14:paraId="42DDE42F" w14:textId="494C3BDE" w:rsidR="008100EA" w:rsidRPr="003D74E4" w:rsidRDefault="008100EA" w:rsidP="008100EA">
      <w:pPr>
        <w:rPr>
          <w:rFonts w:cstheme="minorHAnsi"/>
        </w:rPr>
      </w:pPr>
      <w:r>
        <w:rPr>
          <w:rFonts w:cstheme="minorHAnsi"/>
        </w:rPr>
        <w:t>Internal Resources, specific to OHSU can be found at the Research Data Website</w:t>
      </w:r>
      <w:r w:rsidR="00433A91">
        <w:rPr>
          <w:rFonts w:cstheme="minorHAnsi"/>
        </w:rPr>
        <w:t xml:space="preserve"> </w:t>
      </w:r>
      <w:hyperlink r:id="rId13" w:history="1">
        <w:r w:rsidR="00433A91" w:rsidRPr="00433A91">
          <w:rPr>
            <w:rStyle w:val="Hyperlink"/>
            <w:rFonts w:cstheme="minorHAnsi"/>
          </w:rPr>
          <w:t>here</w:t>
        </w:r>
      </w:hyperlink>
      <w:bookmarkStart w:id="2" w:name="_GoBack"/>
      <w:bookmarkEnd w:id="2"/>
      <w:r>
        <w:rPr>
          <w:rFonts w:cstheme="minorHAnsi"/>
        </w:rPr>
        <w:t xml:space="preserve">.  Questions can be addressed to the Research Data Concierge at </w:t>
      </w:r>
      <w:hyperlink r:id="rId14" w:history="1">
        <w:r w:rsidRPr="004744CF">
          <w:rPr>
            <w:rStyle w:val="Hyperlink"/>
            <w:rFonts w:cstheme="minorHAnsi"/>
          </w:rPr>
          <w:t>researchdata@ohsu.edu</w:t>
        </w:r>
      </w:hyperlink>
      <w:r>
        <w:rPr>
          <w:rFonts w:cstheme="minorHAnsi"/>
        </w:rPr>
        <w:t>.</w:t>
      </w:r>
    </w:p>
    <w:p w14:paraId="7152F3F1" w14:textId="75EE812A" w:rsidR="00182FFF" w:rsidRPr="009A6D9F" w:rsidRDefault="00182FFF" w:rsidP="008100EA">
      <w:pPr>
        <w:pStyle w:val="Heading1"/>
      </w:pPr>
    </w:p>
    <w:sectPr w:rsidR="00182FFF" w:rsidRPr="009A6D9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B029E" w14:textId="77777777" w:rsidR="009D0454" w:rsidRDefault="009D0454" w:rsidP="00DB0FDE">
      <w:pPr>
        <w:spacing w:after="0" w:line="240" w:lineRule="auto"/>
      </w:pPr>
      <w:r>
        <w:separator/>
      </w:r>
    </w:p>
  </w:endnote>
  <w:endnote w:type="continuationSeparator" w:id="0">
    <w:p w14:paraId="1839F010" w14:textId="77777777" w:rsidR="009D0454" w:rsidRDefault="009D0454" w:rsidP="00DB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C71E" w14:textId="0FF0E514" w:rsidR="00DB0FDE" w:rsidRDefault="003952B7">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rsidR="008100EA">
      <w:t>Guidance for 21 CFR Part 11 Compliance</w:t>
    </w:r>
    <w:r>
      <w:ptab w:relativeTo="margin" w:alignment="right" w:leader="none"/>
    </w:r>
    <w:r w:rsidR="009A6D9F">
      <w:t>0</w:t>
    </w:r>
    <w:r w:rsidR="008100EA">
      <w:t>7/19</w:t>
    </w:r>
    <w:r w:rsidR="00CA3062">
      <w:t>/2</w:t>
    </w:r>
    <w:r w:rsidR="009A6D9F">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7984" w14:textId="77777777" w:rsidR="009D0454" w:rsidRDefault="009D0454" w:rsidP="00DB0FDE">
      <w:pPr>
        <w:spacing w:after="0" w:line="240" w:lineRule="auto"/>
      </w:pPr>
      <w:r>
        <w:separator/>
      </w:r>
    </w:p>
  </w:footnote>
  <w:footnote w:type="continuationSeparator" w:id="0">
    <w:p w14:paraId="68389302" w14:textId="77777777" w:rsidR="009D0454" w:rsidRDefault="009D0454" w:rsidP="00DB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8DEA" w14:textId="60CB59B4" w:rsidR="00DB0FDE" w:rsidRDefault="00DB0FDE">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61F2A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B82F1B1" w14:textId="4597D0D7" w:rsidR="00DB0FDE" w:rsidRDefault="00DB0FDE">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965"/>
    <w:multiLevelType w:val="hybridMultilevel"/>
    <w:tmpl w:val="863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46ED"/>
    <w:multiLevelType w:val="multilevel"/>
    <w:tmpl w:val="6A4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B4C0B"/>
    <w:multiLevelType w:val="hybridMultilevel"/>
    <w:tmpl w:val="57001DBA"/>
    <w:lvl w:ilvl="0" w:tplc="FFFFFFFF">
      <w:numFmt w:val="bullet"/>
      <w:lvlText w:val="-"/>
      <w:lvlJc w:val="left"/>
      <w:pPr>
        <w:ind w:left="720" w:hanging="360"/>
      </w:pPr>
      <w:rPr>
        <w:rFonts w:ascii="Calibri" w:hAnsi="Calibri" w:hint="default"/>
      </w:rPr>
    </w:lvl>
    <w:lvl w:ilvl="1" w:tplc="EE282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83287"/>
    <w:multiLevelType w:val="hybridMultilevel"/>
    <w:tmpl w:val="53963CDE"/>
    <w:lvl w:ilvl="0" w:tplc="47E6A328">
      <w:numFmt w:val="bullet"/>
      <w:lvlText w:val="-"/>
      <w:lvlJc w:val="left"/>
      <w:pPr>
        <w:ind w:left="720" w:hanging="360"/>
      </w:pPr>
      <w:rPr>
        <w:rFonts w:ascii="Calibri" w:eastAsiaTheme="minorHAnsi" w:hAnsi="Calibri" w:cs="Calibri" w:hint="default"/>
      </w:rPr>
    </w:lvl>
    <w:lvl w:ilvl="1" w:tplc="47E6A32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C4F39"/>
    <w:multiLevelType w:val="hybridMultilevel"/>
    <w:tmpl w:val="60B44230"/>
    <w:lvl w:ilvl="0" w:tplc="8912F33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D70FE"/>
    <w:multiLevelType w:val="multilevel"/>
    <w:tmpl w:val="0FA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6412BF"/>
    <w:multiLevelType w:val="hybridMultilevel"/>
    <w:tmpl w:val="B2CA6E98"/>
    <w:lvl w:ilvl="0" w:tplc="DC6498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D534D"/>
    <w:multiLevelType w:val="hybridMultilevel"/>
    <w:tmpl w:val="E446DC52"/>
    <w:lvl w:ilvl="0" w:tplc="2462376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E62C5"/>
    <w:multiLevelType w:val="hybridMultilevel"/>
    <w:tmpl w:val="CAE2C584"/>
    <w:lvl w:ilvl="0" w:tplc="D19008E8">
      <w:start w:val="1"/>
      <w:numFmt w:val="bullet"/>
      <w:lvlText w:val="-"/>
      <w:lvlJc w:val="left"/>
      <w:pPr>
        <w:ind w:left="720" w:hanging="360"/>
      </w:pPr>
      <w:rPr>
        <w:rFonts w:ascii="Calibri" w:hAnsi="Calibri" w:hint="default"/>
      </w:rPr>
    </w:lvl>
    <w:lvl w:ilvl="1" w:tplc="F60E11EC">
      <w:start w:val="1"/>
      <w:numFmt w:val="bullet"/>
      <w:lvlText w:val="o"/>
      <w:lvlJc w:val="left"/>
      <w:pPr>
        <w:ind w:left="1440" w:hanging="360"/>
      </w:pPr>
      <w:rPr>
        <w:rFonts w:ascii="Courier New" w:hAnsi="Courier New" w:hint="default"/>
      </w:rPr>
    </w:lvl>
    <w:lvl w:ilvl="2" w:tplc="0712B0FA">
      <w:start w:val="1"/>
      <w:numFmt w:val="bullet"/>
      <w:lvlText w:val=""/>
      <w:lvlJc w:val="left"/>
      <w:pPr>
        <w:ind w:left="2160" w:hanging="360"/>
      </w:pPr>
      <w:rPr>
        <w:rFonts w:ascii="Wingdings" w:hAnsi="Wingdings" w:hint="default"/>
      </w:rPr>
    </w:lvl>
    <w:lvl w:ilvl="3" w:tplc="D92623FE">
      <w:start w:val="1"/>
      <w:numFmt w:val="bullet"/>
      <w:lvlText w:val=""/>
      <w:lvlJc w:val="left"/>
      <w:pPr>
        <w:ind w:left="2880" w:hanging="360"/>
      </w:pPr>
      <w:rPr>
        <w:rFonts w:ascii="Symbol" w:hAnsi="Symbol" w:hint="default"/>
      </w:rPr>
    </w:lvl>
    <w:lvl w:ilvl="4" w:tplc="2B18A3A6">
      <w:start w:val="1"/>
      <w:numFmt w:val="bullet"/>
      <w:lvlText w:val="o"/>
      <w:lvlJc w:val="left"/>
      <w:pPr>
        <w:ind w:left="3600" w:hanging="360"/>
      </w:pPr>
      <w:rPr>
        <w:rFonts w:ascii="Courier New" w:hAnsi="Courier New" w:hint="default"/>
      </w:rPr>
    </w:lvl>
    <w:lvl w:ilvl="5" w:tplc="B710770E">
      <w:start w:val="1"/>
      <w:numFmt w:val="bullet"/>
      <w:lvlText w:val=""/>
      <w:lvlJc w:val="left"/>
      <w:pPr>
        <w:ind w:left="4320" w:hanging="360"/>
      </w:pPr>
      <w:rPr>
        <w:rFonts w:ascii="Wingdings" w:hAnsi="Wingdings" w:hint="default"/>
      </w:rPr>
    </w:lvl>
    <w:lvl w:ilvl="6" w:tplc="F0F0AFFC">
      <w:start w:val="1"/>
      <w:numFmt w:val="bullet"/>
      <w:lvlText w:val=""/>
      <w:lvlJc w:val="left"/>
      <w:pPr>
        <w:ind w:left="5040" w:hanging="360"/>
      </w:pPr>
      <w:rPr>
        <w:rFonts w:ascii="Symbol" w:hAnsi="Symbol" w:hint="default"/>
      </w:rPr>
    </w:lvl>
    <w:lvl w:ilvl="7" w:tplc="FCD03E94">
      <w:start w:val="1"/>
      <w:numFmt w:val="bullet"/>
      <w:lvlText w:val="o"/>
      <w:lvlJc w:val="left"/>
      <w:pPr>
        <w:ind w:left="5760" w:hanging="360"/>
      </w:pPr>
      <w:rPr>
        <w:rFonts w:ascii="Courier New" w:hAnsi="Courier New" w:hint="default"/>
      </w:rPr>
    </w:lvl>
    <w:lvl w:ilvl="8" w:tplc="443AC710">
      <w:start w:val="1"/>
      <w:numFmt w:val="bullet"/>
      <w:lvlText w:val=""/>
      <w:lvlJc w:val="left"/>
      <w:pPr>
        <w:ind w:left="6480" w:hanging="360"/>
      </w:pPr>
      <w:rPr>
        <w:rFonts w:ascii="Wingdings" w:hAnsi="Wingdings" w:hint="default"/>
      </w:rPr>
    </w:lvl>
  </w:abstractNum>
  <w:abstractNum w:abstractNumId="12" w15:restartNumberingAfterBreak="0">
    <w:nsid w:val="58DE0969"/>
    <w:multiLevelType w:val="multilevel"/>
    <w:tmpl w:val="586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11427D"/>
    <w:multiLevelType w:val="multilevel"/>
    <w:tmpl w:val="DF4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16854"/>
    <w:multiLevelType w:val="multilevel"/>
    <w:tmpl w:val="4C1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F03592"/>
    <w:multiLevelType w:val="multilevel"/>
    <w:tmpl w:val="D12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08BE"/>
    <w:multiLevelType w:val="hybridMultilevel"/>
    <w:tmpl w:val="C8982BFA"/>
    <w:lvl w:ilvl="0" w:tplc="6636A2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D0C62"/>
    <w:multiLevelType w:val="multilevel"/>
    <w:tmpl w:val="943EB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1A065B5"/>
    <w:multiLevelType w:val="hybridMultilevel"/>
    <w:tmpl w:val="58DA13B4"/>
    <w:lvl w:ilvl="0" w:tplc="47E6A32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A66EB"/>
    <w:multiLevelType w:val="multilevel"/>
    <w:tmpl w:val="0B507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4"/>
  </w:num>
  <w:num w:numId="3">
    <w:abstractNumId w:val="0"/>
  </w:num>
  <w:num w:numId="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6"/>
  </w:num>
  <w:num w:numId="6">
    <w:abstractNumId w:val="16"/>
  </w:num>
  <w:num w:numId="7">
    <w:abstractNumId w:val="9"/>
  </w:num>
  <w:num w:numId="8">
    <w:abstractNumId w:val="7"/>
  </w:num>
  <w:num w:numId="9">
    <w:abstractNumId w:val="2"/>
  </w:num>
  <w:num w:numId="10">
    <w:abstractNumId w:val="10"/>
  </w:num>
  <w:num w:numId="11">
    <w:abstractNumId w:val="18"/>
  </w:num>
  <w:num w:numId="12">
    <w:abstractNumId w:val="5"/>
  </w:num>
  <w:num w:numId="13">
    <w:abstractNumId w:val="8"/>
  </w:num>
  <w:num w:numId="14">
    <w:abstractNumId w:val="3"/>
  </w:num>
  <w:num w:numId="15">
    <w:abstractNumId w:val="17"/>
  </w:num>
  <w:num w:numId="16">
    <w:abstractNumId w:val="19"/>
  </w:num>
  <w:num w:numId="17">
    <w:abstractNumId w:val="13"/>
  </w:num>
  <w:num w:numId="18">
    <w:abstractNumId w:val="14"/>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44A0C"/>
    <w:rsid w:val="00093FC1"/>
    <w:rsid w:val="000E10A3"/>
    <w:rsid w:val="000F2C9B"/>
    <w:rsid w:val="000F4BA3"/>
    <w:rsid w:val="000F7A4A"/>
    <w:rsid w:val="00121B6F"/>
    <w:rsid w:val="0012561B"/>
    <w:rsid w:val="001400B8"/>
    <w:rsid w:val="001464A9"/>
    <w:rsid w:val="00166143"/>
    <w:rsid w:val="00182FFF"/>
    <w:rsid w:val="001945D6"/>
    <w:rsid w:val="00196344"/>
    <w:rsid w:val="001B69FD"/>
    <w:rsid w:val="001E0448"/>
    <w:rsid w:val="00200D57"/>
    <w:rsid w:val="002612A3"/>
    <w:rsid w:val="00272E84"/>
    <w:rsid w:val="00275464"/>
    <w:rsid w:val="002B2FDF"/>
    <w:rsid w:val="002B4518"/>
    <w:rsid w:val="002C0FAB"/>
    <w:rsid w:val="002D3EEC"/>
    <w:rsid w:val="002D68FC"/>
    <w:rsid w:val="00306BF5"/>
    <w:rsid w:val="003145D4"/>
    <w:rsid w:val="00322146"/>
    <w:rsid w:val="00390E1F"/>
    <w:rsid w:val="003952B7"/>
    <w:rsid w:val="003B0AA4"/>
    <w:rsid w:val="00416AFB"/>
    <w:rsid w:val="004246E1"/>
    <w:rsid w:val="00424F37"/>
    <w:rsid w:val="00433A91"/>
    <w:rsid w:val="00437A95"/>
    <w:rsid w:val="004834B6"/>
    <w:rsid w:val="00487651"/>
    <w:rsid w:val="00487B66"/>
    <w:rsid w:val="004A0B49"/>
    <w:rsid w:val="004A5FD8"/>
    <w:rsid w:val="004D02E7"/>
    <w:rsid w:val="004D110A"/>
    <w:rsid w:val="00501E89"/>
    <w:rsid w:val="005533D6"/>
    <w:rsid w:val="00561539"/>
    <w:rsid w:val="005627AD"/>
    <w:rsid w:val="00565C90"/>
    <w:rsid w:val="00584378"/>
    <w:rsid w:val="00591381"/>
    <w:rsid w:val="005C205C"/>
    <w:rsid w:val="006019D5"/>
    <w:rsid w:val="00677551"/>
    <w:rsid w:val="006D5C0B"/>
    <w:rsid w:val="006D7DE3"/>
    <w:rsid w:val="006E0991"/>
    <w:rsid w:val="0073189D"/>
    <w:rsid w:val="00746232"/>
    <w:rsid w:val="00746614"/>
    <w:rsid w:val="007737A2"/>
    <w:rsid w:val="00780C20"/>
    <w:rsid w:val="007B5AD7"/>
    <w:rsid w:val="007B67E7"/>
    <w:rsid w:val="007D60EB"/>
    <w:rsid w:val="007F5FB9"/>
    <w:rsid w:val="008100EA"/>
    <w:rsid w:val="0083727E"/>
    <w:rsid w:val="008452E0"/>
    <w:rsid w:val="008714E9"/>
    <w:rsid w:val="008B6607"/>
    <w:rsid w:val="008C6E93"/>
    <w:rsid w:val="008E0564"/>
    <w:rsid w:val="008F216D"/>
    <w:rsid w:val="00922ABC"/>
    <w:rsid w:val="00924C94"/>
    <w:rsid w:val="00966B3D"/>
    <w:rsid w:val="009A6D9F"/>
    <w:rsid w:val="009C0C05"/>
    <w:rsid w:val="009D0454"/>
    <w:rsid w:val="00A027CF"/>
    <w:rsid w:val="00A044FF"/>
    <w:rsid w:val="00A247CF"/>
    <w:rsid w:val="00A52806"/>
    <w:rsid w:val="00A653D8"/>
    <w:rsid w:val="00AB4C5B"/>
    <w:rsid w:val="00AC789F"/>
    <w:rsid w:val="00AF1BB9"/>
    <w:rsid w:val="00AF2202"/>
    <w:rsid w:val="00B00005"/>
    <w:rsid w:val="00B04CC8"/>
    <w:rsid w:val="00B079D3"/>
    <w:rsid w:val="00B27EC0"/>
    <w:rsid w:val="00B4506E"/>
    <w:rsid w:val="00B70508"/>
    <w:rsid w:val="00B75384"/>
    <w:rsid w:val="00B76C6C"/>
    <w:rsid w:val="00B90865"/>
    <w:rsid w:val="00BA0C9F"/>
    <w:rsid w:val="00BA186A"/>
    <w:rsid w:val="00BA618C"/>
    <w:rsid w:val="00BE3F73"/>
    <w:rsid w:val="00C106C6"/>
    <w:rsid w:val="00C2259F"/>
    <w:rsid w:val="00C32826"/>
    <w:rsid w:val="00C4362E"/>
    <w:rsid w:val="00CA3062"/>
    <w:rsid w:val="00CA7217"/>
    <w:rsid w:val="00CC0741"/>
    <w:rsid w:val="00D25614"/>
    <w:rsid w:val="00D53E22"/>
    <w:rsid w:val="00D822D2"/>
    <w:rsid w:val="00D83610"/>
    <w:rsid w:val="00D97FCB"/>
    <w:rsid w:val="00DB0B7F"/>
    <w:rsid w:val="00DB0FDE"/>
    <w:rsid w:val="00DB2C95"/>
    <w:rsid w:val="00DE3323"/>
    <w:rsid w:val="00DF317D"/>
    <w:rsid w:val="00DF680B"/>
    <w:rsid w:val="00E172E8"/>
    <w:rsid w:val="00E24573"/>
    <w:rsid w:val="00E30D32"/>
    <w:rsid w:val="00E55EEB"/>
    <w:rsid w:val="00E574C4"/>
    <w:rsid w:val="00E66A64"/>
    <w:rsid w:val="00E87A97"/>
    <w:rsid w:val="00E90CBF"/>
    <w:rsid w:val="00F0005A"/>
    <w:rsid w:val="00F0369A"/>
    <w:rsid w:val="00F151F3"/>
    <w:rsid w:val="00F1617B"/>
    <w:rsid w:val="00F23AE4"/>
    <w:rsid w:val="00FD2157"/>
    <w:rsid w:val="02D39888"/>
    <w:rsid w:val="03028F43"/>
    <w:rsid w:val="0305C109"/>
    <w:rsid w:val="037B3416"/>
    <w:rsid w:val="069264A1"/>
    <w:rsid w:val="07D9322C"/>
    <w:rsid w:val="07F25A89"/>
    <w:rsid w:val="08C6C902"/>
    <w:rsid w:val="0B10D2EE"/>
    <w:rsid w:val="11A59DDD"/>
    <w:rsid w:val="17474888"/>
    <w:rsid w:val="1886A8CE"/>
    <w:rsid w:val="19381BBF"/>
    <w:rsid w:val="1960EB5C"/>
    <w:rsid w:val="1BD6F1AC"/>
    <w:rsid w:val="1EBB87D6"/>
    <w:rsid w:val="22A80483"/>
    <w:rsid w:val="2511A0FD"/>
    <w:rsid w:val="25A87394"/>
    <w:rsid w:val="274443F5"/>
    <w:rsid w:val="277ADE2E"/>
    <w:rsid w:val="27C6DCC0"/>
    <w:rsid w:val="28A53CE7"/>
    <w:rsid w:val="28E01456"/>
    <w:rsid w:val="2919ACEA"/>
    <w:rsid w:val="2AA18D26"/>
    <w:rsid w:val="2D894A7E"/>
    <w:rsid w:val="3745FB22"/>
    <w:rsid w:val="3867530F"/>
    <w:rsid w:val="3A7D9BE4"/>
    <w:rsid w:val="3B284F09"/>
    <w:rsid w:val="3F328FBB"/>
    <w:rsid w:val="3FC1D288"/>
    <w:rsid w:val="4007CD7C"/>
    <w:rsid w:val="4A61F030"/>
    <w:rsid w:val="4FC47168"/>
    <w:rsid w:val="51DD9BC8"/>
    <w:rsid w:val="52A9F0DF"/>
    <w:rsid w:val="55A277C8"/>
    <w:rsid w:val="56369477"/>
    <w:rsid w:val="5672551D"/>
    <w:rsid w:val="57D745CF"/>
    <w:rsid w:val="5869376F"/>
    <w:rsid w:val="59731630"/>
    <w:rsid w:val="5B0EE691"/>
    <w:rsid w:val="5B4B8386"/>
    <w:rsid w:val="664F6E29"/>
    <w:rsid w:val="683BF7E1"/>
    <w:rsid w:val="69D53A8E"/>
    <w:rsid w:val="69EAB94B"/>
    <w:rsid w:val="6B0EEE8D"/>
    <w:rsid w:val="6BFFA4F1"/>
    <w:rsid w:val="6C239397"/>
    <w:rsid w:val="6CAABEEE"/>
    <w:rsid w:val="6D25D0DC"/>
    <w:rsid w:val="6FE25FB0"/>
    <w:rsid w:val="76E858FD"/>
    <w:rsid w:val="7B13D780"/>
    <w:rsid w:val="7C18D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customStyle="1" w:styleId="Heading1Char">
    <w:name w:val="Heading 1 Char"/>
    <w:basedOn w:val="DefaultParagraphFont"/>
    <w:link w:val="Heading1"/>
    <w:uiPriority w:val="9"/>
    <w:rsid w:val="004A5F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C6E93"/>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DE"/>
    <w:rPr>
      <w:rFonts w:asciiTheme="majorHAnsi" w:eastAsiaTheme="majorEastAsia" w:hAnsiTheme="majorHAnsi" w:cstheme="majorBidi"/>
      <w:spacing w:val="-10"/>
      <w:kern w:val="28"/>
      <w:sz w:val="56"/>
      <w:szCs w:val="56"/>
    </w:rPr>
  </w:style>
  <w:style w:type="paragraph" w:customStyle="1" w:styleId="paragraph">
    <w:name w:val="paragraph"/>
    <w:basedOn w:val="Normal"/>
    <w:rsid w:val="00D53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3E22"/>
  </w:style>
  <w:style w:type="character" w:customStyle="1" w:styleId="eop">
    <w:name w:val="eop"/>
    <w:basedOn w:val="DefaultParagraphFont"/>
    <w:rsid w:val="00D53E22"/>
  </w:style>
  <w:style w:type="character" w:styleId="UnresolvedMention">
    <w:name w:val="Unresolved Mention"/>
    <w:basedOn w:val="DefaultParagraphFont"/>
    <w:uiPriority w:val="99"/>
    <w:semiHidden/>
    <w:unhideWhenUsed/>
    <w:rsid w:val="00810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22">
      <w:bodyDiv w:val="1"/>
      <w:marLeft w:val="0"/>
      <w:marRight w:val="0"/>
      <w:marTop w:val="0"/>
      <w:marBottom w:val="0"/>
      <w:divBdr>
        <w:top w:val="none" w:sz="0" w:space="0" w:color="auto"/>
        <w:left w:val="none" w:sz="0" w:space="0" w:color="auto"/>
        <w:bottom w:val="none" w:sz="0" w:space="0" w:color="auto"/>
        <w:right w:val="none" w:sz="0" w:space="0" w:color="auto"/>
      </w:divBdr>
      <w:divsChild>
        <w:div w:id="2142260357">
          <w:marLeft w:val="0"/>
          <w:marRight w:val="0"/>
          <w:marTop w:val="0"/>
          <w:marBottom w:val="0"/>
          <w:divBdr>
            <w:top w:val="none" w:sz="0" w:space="0" w:color="auto"/>
            <w:left w:val="none" w:sz="0" w:space="0" w:color="auto"/>
            <w:bottom w:val="none" w:sz="0" w:space="0" w:color="auto"/>
            <w:right w:val="none" w:sz="0" w:space="0" w:color="auto"/>
          </w:divBdr>
        </w:div>
        <w:div w:id="501506758">
          <w:marLeft w:val="0"/>
          <w:marRight w:val="0"/>
          <w:marTop w:val="0"/>
          <w:marBottom w:val="0"/>
          <w:divBdr>
            <w:top w:val="none" w:sz="0" w:space="0" w:color="auto"/>
            <w:left w:val="none" w:sz="0" w:space="0" w:color="auto"/>
            <w:bottom w:val="none" w:sz="0" w:space="0" w:color="auto"/>
            <w:right w:val="none" w:sz="0" w:space="0" w:color="auto"/>
          </w:divBdr>
        </w:div>
        <w:div w:id="1480809508">
          <w:marLeft w:val="0"/>
          <w:marRight w:val="0"/>
          <w:marTop w:val="0"/>
          <w:marBottom w:val="0"/>
          <w:divBdr>
            <w:top w:val="none" w:sz="0" w:space="0" w:color="auto"/>
            <w:left w:val="none" w:sz="0" w:space="0" w:color="auto"/>
            <w:bottom w:val="none" w:sz="0" w:space="0" w:color="auto"/>
            <w:right w:val="none" w:sz="0" w:space="0" w:color="auto"/>
          </w:divBdr>
        </w:div>
        <w:div w:id="2110851064">
          <w:marLeft w:val="0"/>
          <w:marRight w:val="0"/>
          <w:marTop w:val="0"/>
          <w:marBottom w:val="0"/>
          <w:divBdr>
            <w:top w:val="none" w:sz="0" w:space="0" w:color="auto"/>
            <w:left w:val="none" w:sz="0" w:space="0" w:color="auto"/>
            <w:bottom w:val="none" w:sz="0" w:space="0" w:color="auto"/>
            <w:right w:val="none" w:sz="0" w:space="0" w:color="auto"/>
          </w:divBdr>
        </w:div>
        <w:div w:id="1381201381">
          <w:marLeft w:val="0"/>
          <w:marRight w:val="0"/>
          <w:marTop w:val="0"/>
          <w:marBottom w:val="0"/>
          <w:divBdr>
            <w:top w:val="none" w:sz="0" w:space="0" w:color="auto"/>
            <w:left w:val="none" w:sz="0" w:space="0" w:color="auto"/>
            <w:bottom w:val="none" w:sz="0" w:space="0" w:color="auto"/>
            <w:right w:val="none" w:sz="0" w:space="0" w:color="auto"/>
          </w:divBdr>
        </w:div>
      </w:divsChild>
    </w:div>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1274632442">
      <w:bodyDiv w:val="1"/>
      <w:marLeft w:val="0"/>
      <w:marRight w:val="0"/>
      <w:marTop w:val="0"/>
      <w:marBottom w:val="0"/>
      <w:divBdr>
        <w:top w:val="none" w:sz="0" w:space="0" w:color="auto"/>
        <w:left w:val="none" w:sz="0" w:space="0" w:color="auto"/>
        <w:bottom w:val="none" w:sz="0" w:space="0" w:color="auto"/>
        <w:right w:val="none" w:sz="0" w:space="0" w:color="auto"/>
      </w:divBdr>
      <w:divsChild>
        <w:div w:id="608468135">
          <w:marLeft w:val="0"/>
          <w:marRight w:val="0"/>
          <w:marTop w:val="0"/>
          <w:marBottom w:val="0"/>
          <w:divBdr>
            <w:top w:val="none" w:sz="0" w:space="0" w:color="auto"/>
            <w:left w:val="none" w:sz="0" w:space="0" w:color="auto"/>
            <w:bottom w:val="none" w:sz="0" w:space="0" w:color="auto"/>
            <w:right w:val="none" w:sz="0" w:space="0" w:color="auto"/>
          </w:divBdr>
        </w:div>
        <w:div w:id="1321076084">
          <w:marLeft w:val="0"/>
          <w:marRight w:val="0"/>
          <w:marTop w:val="0"/>
          <w:marBottom w:val="0"/>
          <w:divBdr>
            <w:top w:val="none" w:sz="0" w:space="0" w:color="auto"/>
            <w:left w:val="none" w:sz="0" w:space="0" w:color="auto"/>
            <w:bottom w:val="none" w:sz="0" w:space="0" w:color="auto"/>
            <w:right w:val="none" w:sz="0" w:space="0" w:color="auto"/>
          </w:divBdr>
        </w:div>
      </w:divsChild>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hsuitg.sharepoint.com/sites/CT.Research-Data2/SitePages/Compliance-with-21-CFR-Part-11.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da.gov/media/97567/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da.gov/media/116850/downloa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cfr.gov/current/title-21/chapter-I/subchapter-A/part-11" TargetMode="External"/><Relationship Id="Re353a93904f54b5d"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archdata@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4" ma:contentTypeDescription="Create a new document." ma:contentTypeScope="" ma:versionID="a2f8cc62aabf0d49d9d17681e2d1c331">
  <xsd:schema xmlns:xsd="http://www.w3.org/2001/XMLSchema" xmlns:xs="http://www.w3.org/2001/XMLSchema" xmlns:p="http://schemas.microsoft.com/office/2006/metadata/properties" xmlns:ns2="1acb9adc-ec33-475f-8130-c1c307b91901" targetNamespace="http://schemas.microsoft.com/office/2006/metadata/properties" ma:root="true" ma:fieldsID="d90ab392e71ce1354c4c1d94de324aac" ns2:_="">
    <xsd:import namespace="1acb9adc-ec33-475f-8130-c1c307b91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0D18E-321C-40CB-89EB-9B72A3C7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3EA1C-33D4-4B15-934E-B105FD234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OFFICE OF THE CHIEF RESEARCH INFORMATION OFFICER</vt:lpstr>
    </vt:vector>
  </TitlesOfParts>
  <Company>Oregon Health and Science University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CHIEF RESEARCH INFORMATION OFFICER</dc:title>
  <dc:subject/>
  <dc:creator>Lindsey Zimmerman</dc:creator>
  <cp:keywords/>
  <dc:description/>
  <cp:lastModifiedBy>Lindsey Zimmerman</cp:lastModifiedBy>
  <cp:revision>5</cp:revision>
  <dcterms:created xsi:type="dcterms:W3CDTF">2023-07-19T19:17:00Z</dcterms:created>
  <dcterms:modified xsi:type="dcterms:W3CDTF">2023-08-01T18:07:00Z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ies>
</file>