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33" w:rsidRPr="009A610C" w:rsidRDefault="001C4A33" w:rsidP="001C4A33">
      <w:pPr>
        <w:jc w:val="center"/>
        <w:rPr>
          <w:rFonts w:ascii="Noto Serif" w:hAnsi="Noto Serif" w:cs="Noto Serif"/>
          <w:b/>
          <w:sz w:val="28"/>
          <w:szCs w:val="22"/>
          <w:u w:val="single"/>
        </w:rPr>
      </w:pPr>
      <w:r w:rsidRPr="009A610C">
        <w:rPr>
          <w:rFonts w:ascii="Noto Serif" w:hAnsi="Noto Serif" w:cs="Noto Serif"/>
          <w:b/>
          <w:sz w:val="28"/>
          <w:szCs w:val="22"/>
          <w:u w:val="single"/>
        </w:rPr>
        <w:t xml:space="preserve">Who can accept </w:t>
      </w:r>
      <w:r w:rsidRPr="009A610C">
        <w:rPr>
          <w:rFonts w:ascii="Noto Serif" w:hAnsi="Noto Serif" w:cs="Noto Serif"/>
          <w:b/>
          <w:i/>
          <w:iCs/>
          <w:sz w:val="28"/>
          <w:szCs w:val="22"/>
          <w:u w:val="single"/>
        </w:rPr>
        <w:t>AMA PRA Category 1 Credit</w:t>
      </w:r>
      <w:r w:rsidR="009A610C" w:rsidRPr="009A610C">
        <w:rPr>
          <w:rFonts w:ascii="Noto Serif" w:hAnsi="Noto Serif" w:cs="Noto Serif"/>
          <w:b/>
          <w:i/>
          <w:iCs/>
          <w:sz w:val="28"/>
          <w:szCs w:val="22"/>
          <w:u w:val="single"/>
        </w:rPr>
        <w:t>™?</w:t>
      </w:r>
    </w:p>
    <w:p w:rsidR="00CD66D1" w:rsidRPr="009A610C" w:rsidRDefault="00CD66D1" w:rsidP="001C4A33">
      <w:pPr>
        <w:jc w:val="center"/>
        <w:rPr>
          <w:rFonts w:ascii="Noto Serif" w:hAnsi="Noto Serif" w:cs="Noto Serif"/>
          <w:sz w:val="22"/>
          <w:szCs w:val="22"/>
        </w:rPr>
      </w:pPr>
    </w:p>
    <w:p w:rsidR="00CD66D1" w:rsidRPr="009A610C" w:rsidRDefault="009A610C" w:rsidP="00CD66D1">
      <w:pPr>
        <w:rPr>
          <w:rFonts w:ascii="Noto Serif" w:hAnsi="Noto Serif" w:cs="Noto Serif"/>
          <w:bCs/>
          <w:sz w:val="22"/>
          <w:szCs w:val="22"/>
        </w:rPr>
      </w:pPr>
      <w:r w:rsidRPr="009A610C">
        <w:rPr>
          <w:rFonts w:ascii="Noto Serif" w:hAnsi="Noto Serif" w:cs="Noto Serif"/>
          <w:bCs/>
          <w:iCs/>
          <w:sz w:val="22"/>
          <w:szCs w:val="22"/>
        </w:rPr>
        <w:t xml:space="preserve">OHSU School of Medicine is accredited by the ACCME to provide </w:t>
      </w:r>
      <w:r w:rsidR="00CD66D1" w:rsidRPr="009A610C">
        <w:rPr>
          <w:rFonts w:ascii="Noto Serif" w:hAnsi="Noto Serif" w:cs="Noto Serif"/>
          <w:bCs/>
          <w:sz w:val="22"/>
          <w:szCs w:val="22"/>
        </w:rPr>
        <w:t>AMA PRA Category 1 Credit</w:t>
      </w:r>
      <w:r w:rsidRPr="009A610C">
        <w:rPr>
          <w:rFonts w:ascii="Noto Serif" w:hAnsi="Noto Serif" w:cs="Noto Serif"/>
          <w:bCs/>
          <w:sz w:val="22"/>
          <w:szCs w:val="22"/>
        </w:rPr>
        <w:t>™</w:t>
      </w:r>
      <w:r w:rsidR="00CD66D1" w:rsidRPr="009A610C">
        <w:rPr>
          <w:rFonts w:ascii="Noto Serif" w:hAnsi="Noto Serif" w:cs="Noto Serif"/>
          <w:bCs/>
          <w:sz w:val="22"/>
          <w:szCs w:val="22"/>
        </w:rPr>
        <w:t xml:space="preserve">. </w:t>
      </w:r>
    </w:p>
    <w:p w:rsidR="00CD66D1" w:rsidRPr="009A610C" w:rsidRDefault="00CD66D1" w:rsidP="00CD66D1">
      <w:pPr>
        <w:rPr>
          <w:rFonts w:ascii="Noto Serif" w:hAnsi="Noto Serif" w:cs="Noto Serif"/>
          <w:sz w:val="22"/>
          <w:szCs w:val="22"/>
        </w:rPr>
      </w:pPr>
    </w:p>
    <w:p w:rsidR="00107EDE" w:rsidRPr="009A610C" w:rsidRDefault="00107EDE" w:rsidP="00CD66D1">
      <w:pPr>
        <w:rPr>
          <w:rFonts w:ascii="Noto Serif" w:hAnsi="Noto Serif" w:cs="Noto Serif"/>
          <w:sz w:val="22"/>
          <w:szCs w:val="22"/>
        </w:rPr>
      </w:pPr>
      <w:r w:rsidRPr="009A610C">
        <w:rPr>
          <w:rFonts w:ascii="Noto Serif" w:hAnsi="Noto Serif" w:cs="Noto Serif"/>
          <w:bCs/>
          <w:sz w:val="22"/>
          <w:szCs w:val="22"/>
          <w:u w:val="single"/>
        </w:rPr>
        <w:t>MDs &amp; DOs</w:t>
      </w:r>
    </w:p>
    <w:p w:rsidR="00CD66D1" w:rsidRPr="00825EAD" w:rsidRDefault="00CD66D1" w:rsidP="00825EAD">
      <w:pPr>
        <w:ind w:left="720"/>
        <w:rPr>
          <w:rFonts w:ascii="Noto Serif" w:hAnsi="Noto Serif" w:cs="Noto Serif"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>In Oregon</w:t>
      </w:r>
      <w:r w:rsidR="00107EDE" w:rsidRPr="00825EAD">
        <w:rPr>
          <w:rFonts w:ascii="Noto Serif" w:hAnsi="Noto Serif" w:cs="Noto Serif"/>
          <w:sz w:val="22"/>
          <w:szCs w:val="22"/>
        </w:rPr>
        <w:t>,</w:t>
      </w:r>
      <w:r w:rsidRPr="00825EAD">
        <w:rPr>
          <w:rFonts w:ascii="Noto Serif" w:hAnsi="Noto Serif" w:cs="Noto Serif"/>
          <w:sz w:val="22"/>
          <w:szCs w:val="22"/>
        </w:rPr>
        <w:t xml:space="preserve"> physicians must earn 60 hours of CME over the course of two years (</w:t>
      </w:r>
      <w:hyperlink r:id="rId5" w:history="1">
        <w:r w:rsidRPr="00825EAD">
          <w:rPr>
            <w:rStyle w:val="Hyperlink"/>
            <w:rFonts w:ascii="Noto Serif" w:hAnsi="Noto Serif" w:cs="Noto Serif"/>
            <w:sz w:val="22"/>
            <w:szCs w:val="22"/>
          </w:rPr>
          <w:t>OAR 8</w:t>
        </w:r>
        <w:r w:rsidRPr="00825EAD">
          <w:rPr>
            <w:rStyle w:val="Hyperlink"/>
            <w:rFonts w:ascii="Noto Serif" w:hAnsi="Noto Serif" w:cs="Noto Serif"/>
            <w:sz w:val="22"/>
            <w:szCs w:val="22"/>
          </w:rPr>
          <w:t>4</w:t>
        </w:r>
        <w:r w:rsidRPr="00825EAD">
          <w:rPr>
            <w:rStyle w:val="Hyperlink"/>
            <w:rFonts w:ascii="Noto Serif" w:hAnsi="Noto Serif" w:cs="Noto Serif"/>
            <w:sz w:val="22"/>
            <w:szCs w:val="22"/>
          </w:rPr>
          <w:t>7-008-0070</w:t>
        </w:r>
      </w:hyperlink>
      <w:r w:rsidR="00F425CD" w:rsidRPr="00825EAD">
        <w:rPr>
          <w:rFonts w:ascii="Noto Serif" w:hAnsi="Noto Serif" w:cs="Noto Serif"/>
          <w:sz w:val="22"/>
          <w:szCs w:val="22"/>
        </w:rPr>
        <w:t xml:space="preserve">) </w:t>
      </w:r>
      <w:r w:rsidR="00F425CD" w:rsidRPr="00825EAD">
        <w:rPr>
          <w:rFonts w:ascii="Noto Serif" w:hAnsi="Noto Serif" w:cs="Noto Serif"/>
          <w:i/>
          <w:iCs/>
          <w:sz w:val="22"/>
          <w:szCs w:val="22"/>
        </w:rPr>
        <w:t>AMA PRA Category 1 Credit</w:t>
      </w:r>
      <w:r w:rsidR="009A610C" w:rsidRPr="00825EAD">
        <w:rPr>
          <w:rFonts w:ascii="Noto Serif" w:hAnsi="Noto Serif" w:cs="Noto Serif"/>
          <w:i/>
          <w:iCs/>
          <w:sz w:val="22"/>
          <w:szCs w:val="22"/>
        </w:rPr>
        <w:t>™</w:t>
      </w:r>
      <w:r w:rsidR="00F425CD" w:rsidRPr="00825EAD">
        <w:rPr>
          <w:rFonts w:ascii="Noto Serif" w:hAnsi="Noto Serif" w:cs="Noto Serif"/>
          <w:iCs/>
          <w:sz w:val="22"/>
          <w:szCs w:val="22"/>
        </w:rPr>
        <w:t xml:space="preserve"> or equivalent. </w:t>
      </w:r>
    </w:p>
    <w:p w:rsidR="00CD66D1" w:rsidRPr="009A610C" w:rsidRDefault="00CD66D1" w:rsidP="00CD66D1">
      <w:pPr>
        <w:rPr>
          <w:rFonts w:ascii="Noto Serif" w:hAnsi="Noto Serif" w:cs="Noto Serif"/>
          <w:bCs/>
          <w:sz w:val="22"/>
          <w:szCs w:val="22"/>
        </w:rPr>
      </w:pPr>
    </w:p>
    <w:p w:rsidR="00107EDE" w:rsidRPr="009A610C" w:rsidRDefault="00CD66D1" w:rsidP="00CD66D1">
      <w:pPr>
        <w:rPr>
          <w:rFonts w:ascii="Noto Serif" w:hAnsi="Noto Serif" w:cs="Noto Serif"/>
          <w:sz w:val="22"/>
          <w:szCs w:val="22"/>
          <w:u w:val="single"/>
        </w:rPr>
      </w:pPr>
      <w:r w:rsidRPr="009A610C">
        <w:rPr>
          <w:rFonts w:ascii="Noto Serif" w:hAnsi="Noto Serif" w:cs="Noto Serif"/>
          <w:bCs/>
          <w:sz w:val="22"/>
          <w:szCs w:val="22"/>
          <w:u w:val="single"/>
        </w:rPr>
        <w:t>Nurse Prac</w:t>
      </w:r>
      <w:r w:rsidR="00107EDE" w:rsidRPr="009A610C">
        <w:rPr>
          <w:rFonts w:ascii="Noto Serif" w:hAnsi="Noto Serif" w:cs="Noto Serif"/>
          <w:bCs/>
          <w:sz w:val="22"/>
          <w:szCs w:val="22"/>
          <w:u w:val="single"/>
        </w:rPr>
        <w:t>titioners and Registered Nurses</w:t>
      </w:r>
      <w:r w:rsidRPr="009A610C">
        <w:rPr>
          <w:rFonts w:ascii="Noto Serif" w:hAnsi="Noto Serif" w:cs="Noto Serif"/>
          <w:sz w:val="22"/>
          <w:szCs w:val="22"/>
          <w:u w:val="single"/>
        </w:rPr>
        <w:t xml:space="preserve"> </w:t>
      </w:r>
    </w:p>
    <w:p w:rsidR="00107EDE" w:rsidRPr="00825EAD" w:rsidRDefault="00CD66D1" w:rsidP="00825EAD">
      <w:pPr>
        <w:ind w:left="720"/>
        <w:rPr>
          <w:rFonts w:ascii="Noto Serif" w:hAnsi="Noto Serif" w:cs="Noto Serif"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 xml:space="preserve">For the purpose of recertification, the American Nurses Credentialing Center accepts </w:t>
      </w:r>
      <w:r w:rsidRPr="00825EAD">
        <w:rPr>
          <w:rFonts w:ascii="Noto Serif" w:hAnsi="Noto Serif" w:cs="Noto Serif"/>
          <w:i/>
          <w:iCs/>
          <w:sz w:val="22"/>
          <w:szCs w:val="22"/>
        </w:rPr>
        <w:t>AMA PRA Category 1 Credit</w:t>
      </w:r>
      <w:r w:rsidR="009A610C" w:rsidRPr="00825EAD">
        <w:rPr>
          <w:rFonts w:ascii="Noto Serif" w:hAnsi="Noto Serif" w:cs="Noto Serif"/>
          <w:i/>
          <w:iCs/>
          <w:sz w:val="22"/>
          <w:szCs w:val="22"/>
        </w:rPr>
        <w:t xml:space="preserve">™ </w:t>
      </w:r>
      <w:r w:rsidRPr="00825EAD">
        <w:rPr>
          <w:rFonts w:ascii="Noto Serif" w:hAnsi="Noto Serif" w:cs="Noto Serif"/>
          <w:sz w:val="22"/>
          <w:szCs w:val="22"/>
        </w:rPr>
        <w:t xml:space="preserve">issued by organizations accredited by the ACCME (Accreditation Council for Continuing Medical Education).  </w:t>
      </w:r>
    </w:p>
    <w:p w:rsidR="00107EDE" w:rsidRPr="009A610C" w:rsidRDefault="00107EDE" w:rsidP="00825EAD">
      <w:pPr>
        <w:pStyle w:val="ListParagraph"/>
        <w:ind w:left="1080"/>
        <w:rPr>
          <w:rFonts w:ascii="Noto Serif" w:hAnsi="Noto Serif" w:cs="Noto Serif"/>
          <w:sz w:val="22"/>
          <w:szCs w:val="22"/>
        </w:rPr>
      </w:pPr>
    </w:p>
    <w:p w:rsidR="00CD66D1" w:rsidRPr="00825EAD" w:rsidRDefault="00CD66D1" w:rsidP="00825EAD">
      <w:pPr>
        <w:ind w:left="720"/>
        <w:rPr>
          <w:rFonts w:ascii="Noto Serif" w:hAnsi="Noto Serif" w:cs="Noto Serif"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 xml:space="preserve">For the purposes of relicensure the Oregon State Board of Nursing accepts </w:t>
      </w:r>
      <w:r w:rsidRPr="00825EAD">
        <w:rPr>
          <w:rFonts w:ascii="Noto Serif" w:hAnsi="Noto Serif" w:cs="Noto Serif"/>
          <w:i/>
          <w:iCs/>
          <w:sz w:val="22"/>
          <w:szCs w:val="22"/>
        </w:rPr>
        <w:t>AMA PRA Category 1 Credit</w:t>
      </w:r>
      <w:r w:rsidR="009A610C" w:rsidRPr="00825EAD">
        <w:rPr>
          <w:rFonts w:ascii="Noto Serif" w:hAnsi="Noto Serif" w:cs="Noto Serif"/>
          <w:i/>
          <w:iCs/>
          <w:sz w:val="22"/>
          <w:szCs w:val="22"/>
        </w:rPr>
        <w:t xml:space="preserve">™ </w:t>
      </w:r>
      <w:r w:rsidRPr="00825EAD">
        <w:rPr>
          <w:rFonts w:ascii="Noto Serif" w:hAnsi="Noto Serif" w:cs="Noto Serif"/>
          <w:sz w:val="22"/>
          <w:szCs w:val="22"/>
        </w:rPr>
        <w:t xml:space="preserve">for attendance at structured learning activities offered by organizations (in this case: OHSU, Division of </w:t>
      </w:r>
      <w:r w:rsidR="00C44FB0">
        <w:rPr>
          <w:rFonts w:ascii="Noto Serif" w:hAnsi="Noto Serif" w:cs="Noto Serif"/>
          <w:sz w:val="22"/>
          <w:szCs w:val="22"/>
        </w:rPr>
        <w:t>CPD</w:t>
      </w:r>
      <w:r w:rsidRPr="00825EAD">
        <w:rPr>
          <w:rFonts w:ascii="Noto Serif" w:hAnsi="Noto Serif" w:cs="Noto Serif"/>
          <w:sz w:val="22"/>
          <w:szCs w:val="22"/>
        </w:rPr>
        <w:t xml:space="preserve">) accredited by the ACCME. </w:t>
      </w:r>
      <w:bookmarkStart w:id="0" w:name="_GoBack"/>
      <w:bookmarkEnd w:id="0"/>
    </w:p>
    <w:p w:rsidR="00725970" w:rsidRPr="009A610C" w:rsidRDefault="00725970" w:rsidP="00825EAD">
      <w:pPr>
        <w:ind w:left="360"/>
        <w:rPr>
          <w:rFonts w:ascii="Noto Serif" w:hAnsi="Noto Serif" w:cs="Noto Serif"/>
          <w:sz w:val="22"/>
          <w:szCs w:val="22"/>
        </w:rPr>
      </w:pPr>
    </w:p>
    <w:p w:rsidR="00107EDE" w:rsidRPr="009A610C" w:rsidRDefault="00CD66D1" w:rsidP="00CD66D1">
      <w:pPr>
        <w:rPr>
          <w:rFonts w:ascii="Noto Serif" w:hAnsi="Noto Serif" w:cs="Noto Serif"/>
          <w:bCs/>
          <w:sz w:val="22"/>
          <w:szCs w:val="22"/>
          <w:u w:val="single"/>
        </w:rPr>
      </w:pPr>
      <w:r w:rsidRPr="009A610C">
        <w:rPr>
          <w:rFonts w:ascii="Noto Serif" w:hAnsi="Noto Serif" w:cs="Noto Serif"/>
          <w:bCs/>
          <w:sz w:val="22"/>
          <w:szCs w:val="22"/>
          <w:u w:val="single"/>
        </w:rPr>
        <w:t>Physic</w:t>
      </w:r>
      <w:r w:rsidR="00107EDE" w:rsidRPr="009A610C">
        <w:rPr>
          <w:rFonts w:ascii="Noto Serif" w:hAnsi="Noto Serif" w:cs="Noto Serif"/>
          <w:bCs/>
          <w:sz w:val="22"/>
          <w:szCs w:val="22"/>
          <w:u w:val="single"/>
        </w:rPr>
        <w:t>ian Assistant</w:t>
      </w:r>
    </w:p>
    <w:p w:rsidR="00CD66D1" w:rsidRPr="00825EAD" w:rsidRDefault="00CD66D1" w:rsidP="00825EAD">
      <w:pPr>
        <w:ind w:left="720"/>
        <w:rPr>
          <w:rFonts w:ascii="Noto Serif" w:hAnsi="Noto Serif" w:cs="Noto Serif"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 xml:space="preserve">The National Commission on Certification of Physician Assistants (NCCPA) states that the </w:t>
      </w:r>
      <w:r w:rsidRPr="00825EAD">
        <w:rPr>
          <w:rFonts w:ascii="Noto Serif" w:hAnsi="Noto Serif" w:cs="Noto Serif"/>
          <w:i/>
          <w:iCs/>
          <w:sz w:val="22"/>
          <w:szCs w:val="22"/>
        </w:rPr>
        <w:t>AMA PRA Category 1 Credit</w:t>
      </w:r>
      <w:r w:rsidR="00F425CD" w:rsidRPr="00825EAD">
        <w:rPr>
          <w:rFonts w:ascii="Noto Serif" w:hAnsi="Noto Serif" w:cs="Noto Serif"/>
          <w:i/>
          <w:iCs/>
          <w:sz w:val="22"/>
          <w:szCs w:val="22"/>
        </w:rPr>
        <w:t>s</w:t>
      </w:r>
      <w:r w:rsidR="009A610C" w:rsidRPr="00825EAD">
        <w:rPr>
          <w:rFonts w:ascii="Noto Serif" w:hAnsi="Noto Serif" w:cs="Noto Serif"/>
          <w:i/>
          <w:iCs/>
          <w:sz w:val="22"/>
          <w:szCs w:val="22"/>
        </w:rPr>
        <w:t xml:space="preserve">™ </w:t>
      </w:r>
      <w:r w:rsidRPr="00825EAD">
        <w:rPr>
          <w:rFonts w:ascii="Noto Serif" w:hAnsi="Noto Serif" w:cs="Noto Serif"/>
          <w:sz w:val="22"/>
          <w:szCs w:val="22"/>
        </w:rPr>
        <w:t xml:space="preserve">are acceptable for continuing medical education requirements for recertification. </w:t>
      </w:r>
    </w:p>
    <w:p w:rsidR="00CD66D1" w:rsidRPr="009A610C" w:rsidRDefault="00CD66D1" w:rsidP="00CD66D1">
      <w:pPr>
        <w:rPr>
          <w:rFonts w:ascii="Noto Serif" w:hAnsi="Noto Serif" w:cs="Noto Serif"/>
          <w:sz w:val="22"/>
          <w:szCs w:val="22"/>
        </w:rPr>
      </w:pPr>
    </w:p>
    <w:p w:rsidR="00107EDE" w:rsidRPr="009A610C" w:rsidRDefault="00107EDE" w:rsidP="00CD66D1">
      <w:pPr>
        <w:rPr>
          <w:rFonts w:ascii="Noto Serif" w:hAnsi="Noto Serif" w:cs="Noto Serif"/>
          <w:bCs/>
          <w:sz w:val="22"/>
          <w:szCs w:val="22"/>
          <w:u w:val="single"/>
        </w:rPr>
      </w:pPr>
      <w:r w:rsidRPr="009A610C">
        <w:rPr>
          <w:rFonts w:ascii="Noto Serif" w:hAnsi="Noto Serif" w:cs="Noto Serif"/>
          <w:bCs/>
          <w:sz w:val="22"/>
          <w:szCs w:val="22"/>
          <w:u w:val="single"/>
        </w:rPr>
        <w:t>Certified Nurse Midwife</w:t>
      </w:r>
    </w:p>
    <w:p w:rsidR="00CD66D1" w:rsidRPr="00825EAD" w:rsidRDefault="00CD66D1" w:rsidP="00825EAD">
      <w:pPr>
        <w:ind w:left="720"/>
        <w:rPr>
          <w:rFonts w:ascii="Noto Serif" w:hAnsi="Noto Serif" w:cs="Noto Serif"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 xml:space="preserve">The American College of Nurse Midwives has granted reciprocity status for </w:t>
      </w:r>
      <w:r w:rsidRPr="00825EAD">
        <w:rPr>
          <w:rFonts w:ascii="Noto Serif" w:hAnsi="Noto Serif" w:cs="Noto Serif"/>
          <w:i/>
          <w:iCs/>
          <w:sz w:val="22"/>
          <w:szCs w:val="22"/>
        </w:rPr>
        <w:t>AMA PRA Category 1 Credit</w:t>
      </w:r>
      <w:r w:rsidR="009A610C" w:rsidRPr="00825EAD">
        <w:rPr>
          <w:rFonts w:ascii="Noto Serif" w:hAnsi="Noto Serif" w:cs="Noto Serif"/>
          <w:i/>
          <w:iCs/>
          <w:sz w:val="22"/>
          <w:szCs w:val="22"/>
        </w:rPr>
        <w:t>™</w:t>
      </w:r>
      <w:r w:rsidRPr="00825EAD">
        <w:rPr>
          <w:rFonts w:ascii="Noto Serif" w:hAnsi="Noto Serif" w:cs="Noto Serif"/>
          <w:sz w:val="22"/>
          <w:szCs w:val="22"/>
        </w:rPr>
        <w:t xml:space="preserve"> issued by providers accredited by the ACCME and relevant to midwifery.  </w:t>
      </w:r>
    </w:p>
    <w:p w:rsidR="00CD66D1" w:rsidRPr="009A610C" w:rsidRDefault="00CD66D1" w:rsidP="00CD66D1">
      <w:pPr>
        <w:rPr>
          <w:rFonts w:ascii="Noto Serif" w:hAnsi="Noto Serif" w:cs="Noto Serif"/>
          <w:sz w:val="22"/>
          <w:szCs w:val="22"/>
        </w:rPr>
      </w:pPr>
    </w:p>
    <w:p w:rsidR="00107EDE" w:rsidRPr="009A610C" w:rsidRDefault="00497EFF" w:rsidP="00CD66D1">
      <w:pPr>
        <w:rPr>
          <w:rFonts w:ascii="Noto Serif" w:hAnsi="Noto Serif" w:cs="Noto Serif"/>
          <w:sz w:val="22"/>
          <w:szCs w:val="22"/>
        </w:rPr>
      </w:pPr>
      <w:r w:rsidRPr="009A610C">
        <w:rPr>
          <w:rFonts w:ascii="Noto Serif" w:hAnsi="Noto Serif" w:cs="Noto Serif"/>
          <w:bCs/>
          <w:sz w:val="22"/>
          <w:szCs w:val="22"/>
          <w:u w:val="single"/>
        </w:rPr>
        <w:t>Licensed Social Workers</w:t>
      </w:r>
    </w:p>
    <w:p w:rsidR="00497EFF" w:rsidRPr="00825EAD" w:rsidRDefault="00497EFF" w:rsidP="00825EAD">
      <w:pPr>
        <w:ind w:left="720"/>
        <w:rPr>
          <w:rFonts w:ascii="Noto Serif" w:hAnsi="Noto Serif" w:cs="Noto Serif"/>
          <w:iCs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 xml:space="preserve">The Oregon Board of Licensed Social Workers </w:t>
      </w:r>
      <w:r w:rsidR="00BB6BA5" w:rsidRPr="00825EAD">
        <w:rPr>
          <w:rFonts w:ascii="Noto Serif" w:hAnsi="Noto Serif" w:cs="Noto Serif"/>
          <w:sz w:val="22"/>
          <w:szCs w:val="22"/>
        </w:rPr>
        <w:t>accepts AMA</w:t>
      </w:r>
      <w:r w:rsidRPr="00825EAD">
        <w:rPr>
          <w:rFonts w:ascii="Noto Serif" w:hAnsi="Noto Serif" w:cs="Noto Serif"/>
          <w:i/>
          <w:iCs/>
          <w:sz w:val="22"/>
          <w:szCs w:val="22"/>
        </w:rPr>
        <w:t xml:space="preserve"> PRA Category 1 Credit</w:t>
      </w:r>
      <w:r w:rsidR="009A610C" w:rsidRPr="00825EAD">
        <w:rPr>
          <w:rFonts w:ascii="Noto Serif" w:hAnsi="Noto Serif" w:cs="Noto Serif"/>
          <w:i/>
          <w:iCs/>
          <w:sz w:val="22"/>
          <w:szCs w:val="22"/>
        </w:rPr>
        <w:t>™</w:t>
      </w:r>
      <w:r w:rsidRPr="00825EAD">
        <w:rPr>
          <w:rFonts w:ascii="Noto Serif" w:hAnsi="Noto Serif" w:cs="Noto Serif"/>
          <w:iCs/>
          <w:sz w:val="22"/>
          <w:szCs w:val="22"/>
        </w:rPr>
        <w:t xml:space="preserve"> for continuing education requirements.</w:t>
      </w:r>
    </w:p>
    <w:p w:rsidR="00497EFF" w:rsidRPr="009A610C" w:rsidRDefault="00497EFF" w:rsidP="00CD66D1">
      <w:pPr>
        <w:rPr>
          <w:rFonts w:ascii="Noto Serif" w:hAnsi="Noto Serif" w:cs="Noto Serif"/>
          <w:sz w:val="22"/>
          <w:szCs w:val="22"/>
        </w:rPr>
      </w:pPr>
    </w:p>
    <w:p w:rsidR="007800FB" w:rsidRPr="009A610C" w:rsidRDefault="007800FB" w:rsidP="00CD66D1">
      <w:pPr>
        <w:rPr>
          <w:rFonts w:ascii="Noto Serif" w:hAnsi="Noto Serif" w:cs="Noto Serif"/>
          <w:sz w:val="22"/>
          <w:szCs w:val="22"/>
          <w:u w:val="single"/>
        </w:rPr>
      </w:pPr>
      <w:r w:rsidRPr="009A610C">
        <w:rPr>
          <w:rFonts w:ascii="Noto Serif" w:hAnsi="Noto Serif" w:cs="Noto Serif"/>
          <w:sz w:val="22"/>
          <w:szCs w:val="22"/>
          <w:u w:val="single"/>
        </w:rPr>
        <w:t>Pharmacy (</w:t>
      </w:r>
      <w:r w:rsidR="00825EAD">
        <w:rPr>
          <w:rFonts w:ascii="Noto Serif" w:hAnsi="Noto Serif" w:cs="Noto Serif"/>
          <w:sz w:val="22"/>
          <w:szCs w:val="22"/>
          <w:u w:val="single"/>
        </w:rPr>
        <w:t>Oregon</w:t>
      </w:r>
      <w:r w:rsidRPr="009A610C">
        <w:rPr>
          <w:rFonts w:ascii="Noto Serif" w:hAnsi="Noto Serif" w:cs="Noto Serif"/>
          <w:sz w:val="22"/>
          <w:szCs w:val="22"/>
          <w:u w:val="single"/>
        </w:rPr>
        <w:t xml:space="preserve">) </w:t>
      </w:r>
    </w:p>
    <w:p w:rsidR="007800FB" w:rsidRPr="00825EAD" w:rsidRDefault="007800FB" w:rsidP="00825EAD">
      <w:pPr>
        <w:ind w:left="720"/>
        <w:rPr>
          <w:rFonts w:ascii="Noto Serif" w:hAnsi="Noto Serif" w:cs="Noto Serif"/>
          <w:sz w:val="22"/>
          <w:szCs w:val="22"/>
        </w:rPr>
      </w:pPr>
      <w:r w:rsidRPr="00825EAD">
        <w:rPr>
          <w:rFonts w:ascii="Noto Serif" w:hAnsi="Noto Serif" w:cs="Noto Serif"/>
          <w:sz w:val="22"/>
          <w:szCs w:val="22"/>
        </w:rPr>
        <w:t xml:space="preserve">The Oregon Board of Pharmacy recognizes specific Continuing Medical Education (CME), related to pharmacy topics, and designated as </w:t>
      </w:r>
      <w:r w:rsidRPr="00825EAD">
        <w:rPr>
          <w:rFonts w:ascii="Noto Serif" w:hAnsi="Noto Serif" w:cs="Noto Serif"/>
          <w:i/>
          <w:iCs/>
          <w:sz w:val="22"/>
          <w:szCs w:val="22"/>
        </w:rPr>
        <w:t>AMA PRA Category 1 Credits™</w:t>
      </w:r>
      <w:r w:rsidRPr="00825EAD">
        <w:rPr>
          <w:rFonts w:ascii="Noto Serif" w:hAnsi="Noto Serif" w:cs="Noto Serif"/>
          <w:sz w:val="22"/>
          <w:szCs w:val="22"/>
        </w:rPr>
        <w:t>, to be applicable toward pharmacist and technician Continuing Education (CE) credit requirements.</w:t>
      </w:r>
    </w:p>
    <w:p w:rsidR="007800FB" w:rsidRPr="009A610C" w:rsidRDefault="007800FB" w:rsidP="00CD66D1">
      <w:pPr>
        <w:rPr>
          <w:rFonts w:ascii="Noto Serif" w:hAnsi="Noto Serif" w:cs="Noto Serif"/>
          <w:sz w:val="22"/>
          <w:szCs w:val="22"/>
        </w:rPr>
      </w:pPr>
    </w:p>
    <w:p w:rsidR="006C3ECD" w:rsidRPr="009A610C" w:rsidRDefault="00C44FB0">
      <w:pPr>
        <w:rPr>
          <w:rFonts w:ascii="Noto Serif" w:hAnsi="Noto Serif" w:cs="Noto Serif"/>
          <w:sz w:val="22"/>
          <w:szCs w:val="22"/>
        </w:rPr>
      </w:pPr>
      <w:r>
        <w:rPr>
          <w:rFonts w:ascii="Noto Serif" w:hAnsi="Noto Serif" w:cs="Noto Serif"/>
          <w:b/>
          <w:sz w:val="22"/>
          <w:szCs w:val="22"/>
        </w:rPr>
        <w:lastRenderedPageBreak/>
        <w:t>Licensed counselors,</w:t>
      </w:r>
      <w:r w:rsidR="00682E38" w:rsidRPr="009A610C">
        <w:rPr>
          <w:rFonts w:ascii="Noto Serif" w:hAnsi="Noto Serif" w:cs="Noto Serif"/>
          <w:b/>
          <w:bCs/>
          <w:sz w:val="22"/>
          <w:szCs w:val="22"/>
        </w:rPr>
        <w:t xml:space="preserve"> occupational therapists, physical therapists</w:t>
      </w:r>
      <w:r w:rsidR="00460FAA">
        <w:rPr>
          <w:rFonts w:ascii="Noto Serif" w:hAnsi="Noto Serif" w:cs="Noto Serif"/>
          <w:b/>
          <w:bCs/>
          <w:sz w:val="22"/>
          <w:szCs w:val="22"/>
        </w:rPr>
        <w:t xml:space="preserve">, </w:t>
      </w:r>
      <w:r>
        <w:rPr>
          <w:rFonts w:ascii="Noto Serif" w:hAnsi="Noto Serif" w:cs="Noto Serif"/>
          <w:b/>
          <w:bCs/>
          <w:sz w:val="22"/>
          <w:szCs w:val="22"/>
        </w:rPr>
        <w:t xml:space="preserve">acupuncturists, </w:t>
      </w:r>
      <w:r w:rsidR="00460FAA">
        <w:rPr>
          <w:rFonts w:ascii="Noto Serif" w:hAnsi="Noto Serif" w:cs="Noto Serif"/>
          <w:b/>
          <w:bCs/>
          <w:sz w:val="22"/>
          <w:szCs w:val="22"/>
        </w:rPr>
        <w:t xml:space="preserve">and chiropractors </w:t>
      </w:r>
      <w:r w:rsidR="00460FAA">
        <w:rPr>
          <w:rFonts w:ascii="Noto Serif" w:hAnsi="Noto Serif" w:cs="Noto Serif"/>
          <w:bCs/>
          <w:sz w:val="22"/>
          <w:szCs w:val="22"/>
        </w:rPr>
        <w:t xml:space="preserve">can </w:t>
      </w:r>
      <w:r w:rsidR="00682E38" w:rsidRPr="009A610C">
        <w:rPr>
          <w:rFonts w:ascii="Noto Serif" w:hAnsi="Noto Serif" w:cs="Noto Serif"/>
          <w:sz w:val="22"/>
          <w:szCs w:val="22"/>
        </w:rPr>
        <w:t xml:space="preserve">accept the </w:t>
      </w:r>
      <w:r w:rsidR="00682E38" w:rsidRPr="009A610C">
        <w:rPr>
          <w:rFonts w:ascii="Noto Serif" w:hAnsi="Noto Serif" w:cs="Noto Serif"/>
          <w:i/>
          <w:iCs/>
          <w:sz w:val="22"/>
          <w:szCs w:val="22"/>
        </w:rPr>
        <w:t>AMA PRA Category 1 Credit</w:t>
      </w:r>
      <w:r w:rsidR="009A610C" w:rsidRPr="009A610C">
        <w:rPr>
          <w:rFonts w:ascii="Noto Serif" w:hAnsi="Noto Serif" w:cs="Noto Serif"/>
          <w:i/>
          <w:iCs/>
          <w:sz w:val="22"/>
          <w:szCs w:val="22"/>
        </w:rPr>
        <w:t>™</w:t>
      </w:r>
      <w:r w:rsidR="00682E38" w:rsidRPr="009A610C">
        <w:rPr>
          <w:rFonts w:ascii="Noto Serif" w:hAnsi="Noto Serif" w:cs="Noto Serif"/>
          <w:sz w:val="22"/>
          <w:szCs w:val="22"/>
        </w:rPr>
        <w:t xml:space="preserve"> as an equivalent as long as the topic is relevant to the applicant’s field or discipline. </w:t>
      </w:r>
    </w:p>
    <w:p w:rsidR="00881C2D" w:rsidRPr="009A610C" w:rsidRDefault="00881C2D">
      <w:pPr>
        <w:rPr>
          <w:rFonts w:ascii="Noto Serif" w:hAnsi="Noto Serif" w:cs="Noto Serif"/>
          <w:sz w:val="22"/>
          <w:szCs w:val="22"/>
        </w:rPr>
      </w:pPr>
    </w:p>
    <w:p w:rsidR="00881C2D" w:rsidRPr="009A610C" w:rsidRDefault="00881C2D">
      <w:pPr>
        <w:rPr>
          <w:rFonts w:ascii="Noto Serif" w:hAnsi="Noto Serif" w:cs="Noto Serif"/>
          <w:color w:val="000000"/>
          <w:sz w:val="22"/>
          <w:szCs w:val="22"/>
        </w:rPr>
      </w:pPr>
      <w:r w:rsidRPr="009A610C">
        <w:rPr>
          <w:rFonts w:ascii="Noto Serif" w:hAnsi="Noto Serif" w:cs="Noto Serif"/>
          <w:color w:val="000000"/>
          <w:sz w:val="22"/>
          <w:szCs w:val="22"/>
        </w:rPr>
        <w:t>If you have doubts whether an activity wil</w:t>
      </w:r>
      <w:r w:rsidR="00460FAA">
        <w:rPr>
          <w:rFonts w:ascii="Noto Serif" w:hAnsi="Noto Serif" w:cs="Noto Serif"/>
          <w:color w:val="000000"/>
          <w:sz w:val="22"/>
          <w:szCs w:val="22"/>
        </w:rPr>
        <w:t>l qualify for CE, contact your b</w:t>
      </w:r>
      <w:r w:rsidRPr="009A610C">
        <w:rPr>
          <w:rFonts w:ascii="Noto Serif" w:hAnsi="Noto Serif" w:cs="Noto Serif"/>
          <w:color w:val="000000"/>
          <w:sz w:val="22"/>
          <w:szCs w:val="22"/>
        </w:rPr>
        <w:t>oard prior to registering for the course.</w:t>
      </w:r>
    </w:p>
    <w:p w:rsidR="00C1760E" w:rsidRPr="009A610C" w:rsidRDefault="00C1760E">
      <w:pPr>
        <w:rPr>
          <w:rFonts w:ascii="Noto Serif" w:hAnsi="Noto Serif" w:cs="Noto Serif"/>
          <w:color w:val="000000"/>
          <w:sz w:val="22"/>
          <w:szCs w:val="22"/>
        </w:rPr>
      </w:pPr>
    </w:p>
    <w:sectPr w:rsidR="00C1760E" w:rsidRPr="009A610C" w:rsidSect="009A61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168"/>
    <w:multiLevelType w:val="hybridMultilevel"/>
    <w:tmpl w:val="E4DE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B2C"/>
    <w:multiLevelType w:val="hybridMultilevel"/>
    <w:tmpl w:val="8AC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222A3"/>
    <w:multiLevelType w:val="hybridMultilevel"/>
    <w:tmpl w:val="DCB6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1"/>
    <w:rsid w:val="00107EDE"/>
    <w:rsid w:val="001C4A33"/>
    <w:rsid w:val="003A7577"/>
    <w:rsid w:val="00436D2E"/>
    <w:rsid w:val="00460FAA"/>
    <w:rsid w:val="00497EFF"/>
    <w:rsid w:val="00556C21"/>
    <w:rsid w:val="00682E38"/>
    <w:rsid w:val="006C3ECD"/>
    <w:rsid w:val="00725970"/>
    <w:rsid w:val="00764AC9"/>
    <w:rsid w:val="007800FB"/>
    <w:rsid w:val="007E4604"/>
    <w:rsid w:val="007F496C"/>
    <w:rsid w:val="00825EAD"/>
    <w:rsid w:val="00881C2D"/>
    <w:rsid w:val="009A610C"/>
    <w:rsid w:val="00BB6BA5"/>
    <w:rsid w:val="00C0066D"/>
    <w:rsid w:val="00C14A69"/>
    <w:rsid w:val="00C1760E"/>
    <w:rsid w:val="00C44FB0"/>
    <w:rsid w:val="00CD66D1"/>
    <w:rsid w:val="00F425CD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FB3F9"/>
  <w15:docId w15:val="{AEB7202B-99FC-4A64-986C-4927210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6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3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A6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276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</dc:creator>
  <cp:keywords/>
  <dc:description/>
  <cp:lastModifiedBy>Alex Cotgreave</cp:lastModifiedBy>
  <cp:revision>2</cp:revision>
  <cp:lastPrinted>2017-10-20T15:01:00Z</cp:lastPrinted>
  <dcterms:created xsi:type="dcterms:W3CDTF">2021-08-03T20:07:00Z</dcterms:created>
  <dcterms:modified xsi:type="dcterms:W3CDTF">2021-08-03T20:07:00Z</dcterms:modified>
</cp:coreProperties>
</file>