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B8" w:rsidRPr="00754C70" w:rsidRDefault="00754C70">
      <w:pPr>
        <w:jc w:val="center"/>
        <w:rPr>
          <w:rFonts w:ascii="Cambria" w:hAnsi="Cambria" w:cs="Tahoma"/>
          <w:b/>
          <w:bCs/>
          <w:sz w:val="28"/>
          <w:szCs w:val="28"/>
        </w:rPr>
      </w:pPr>
      <w:bookmarkStart w:id="0" w:name="_GoBack"/>
      <w:bookmarkEnd w:id="0"/>
      <w:r w:rsidRPr="00754C70">
        <w:rPr>
          <w:rFonts w:ascii="Cambria" w:hAnsi="Cambria" w:cs="Tahoma"/>
          <w:b/>
          <w:bCs/>
          <w:sz w:val="28"/>
          <w:szCs w:val="28"/>
        </w:rPr>
        <w:t xml:space="preserve">Annual Educational Leadership Summit </w:t>
      </w:r>
    </w:p>
    <w:p w:rsidR="00F612B8" w:rsidRPr="00754C70" w:rsidRDefault="00754C70">
      <w:pPr>
        <w:jc w:val="center"/>
        <w:rPr>
          <w:rFonts w:ascii="Cambria" w:hAnsi="Cambria" w:cs="Tahoma"/>
          <w:b/>
          <w:bCs/>
          <w:sz w:val="28"/>
          <w:szCs w:val="28"/>
        </w:rPr>
      </w:pPr>
      <w:r w:rsidRPr="00754C70">
        <w:rPr>
          <w:rFonts w:ascii="Cambria" w:hAnsi="Cambria" w:cs="Tahoma"/>
          <w:b/>
          <w:bCs/>
          <w:sz w:val="28"/>
          <w:szCs w:val="28"/>
        </w:rPr>
        <w:t>Thursday, November 18, 2010</w:t>
      </w:r>
    </w:p>
    <w:p w:rsidR="00935DAE" w:rsidRDefault="00935DA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612B8" w:rsidRPr="00754C70" w:rsidRDefault="00F612B8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jc w:val="center"/>
        <w:rPr>
          <w:rFonts w:ascii="Calibri" w:hAnsi="Calibri" w:cs="Tahoma"/>
          <w:b/>
          <w:bCs/>
          <w:sz w:val="28"/>
          <w:szCs w:val="28"/>
        </w:rPr>
      </w:pPr>
      <w:r w:rsidRPr="00754C70">
        <w:rPr>
          <w:rFonts w:ascii="Calibri" w:hAnsi="Calibri" w:cs="Tahoma"/>
          <w:b/>
          <w:bCs/>
          <w:sz w:val="28"/>
          <w:szCs w:val="28"/>
        </w:rPr>
        <w:t>FACULTY DISCLOSURE INFORMATION</w:t>
      </w:r>
    </w:p>
    <w:p w:rsidR="00F612B8" w:rsidRPr="00754C70" w:rsidRDefault="00F612B8">
      <w:pPr>
        <w:jc w:val="center"/>
        <w:rPr>
          <w:rFonts w:ascii="Calibri" w:hAnsi="Calibri" w:cs="Tahoma"/>
          <w:b/>
          <w:bCs/>
          <w:sz w:val="28"/>
          <w:szCs w:val="28"/>
        </w:rPr>
      </w:pPr>
    </w:p>
    <w:p w:rsidR="00F46C5C" w:rsidRPr="00754C70" w:rsidRDefault="00F46C5C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alibri" w:hAnsi="Calibri" w:cs="Tahoma"/>
          <w:i/>
          <w:iCs/>
          <w:sz w:val="18"/>
          <w:szCs w:val="18"/>
        </w:rPr>
      </w:pPr>
    </w:p>
    <w:p w:rsidR="00F612B8" w:rsidRPr="00754C70" w:rsidRDefault="00F46C5C" w:rsidP="00754C7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alibri" w:hAnsi="Calibri" w:cs="Tahoma"/>
          <w:i/>
          <w:iCs/>
          <w:sz w:val="18"/>
          <w:szCs w:val="18"/>
        </w:rPr>
      </w:pPr>
      <w:r w:rsidRPr="00754C70">
        <w:rPr>
          <w:rFonts w:ascii="Calibri" w:hAnsi="Calibri" w:cs="Tahoma"/>
          <w:i/>
          <w:iCs/>
          <w:sz w:val="18"/>
          <w:szCs w:val="18"/>
        </w:rPr>
        <w:t xml:space="preserve">   In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 xml:space="preserve"> accordance with the requirements of the Standards for Commercial Support of the Accreditation Council for Continuing</w:t>
      </w:r>
      <w:r w:rsidR="00754C70">
        <w:rPr>
          <w:rFonts w:ascii="Calibri" w:hAnsi="Calibri" w:cs="Tahoma"/>
          <w:i/>
          <w:iCs/>
          <w:sz w:val="18"/>
          <w:szCs w:val="18"/>
        </w:rPr>
        <w:t xml:space="preserve"> 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 xml:space="preserve">Medical Education, each instructor and member of the planning committee has been asked to </w:t>
      </w:r>
      <w:r w:rsidRPr="00754C70">
        <w:rPr>
          <w:rFonts w:ascii="Calibri" w:hAnsi="Calibri" w:cs="Tahoma"/>
          <w:i/>
          <w:iCs/>
          <w:sz w:val="18"/>
          <w:szCs w:val="18"/>
        </w:rPr>
        <w:t xml:space="preserve"> 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 xml:space="preserve">disclose any relevant financial relationships with </w:t>
      </w:r>
      <w:r w:rsidR="00776B0B" w:rsidRPr="00776B0B">
        <w:rPr>
          <w:rFonts w:ascii="Calibri" w:hAnsi="Calibri" w:cs="Tahoma"/>
          <w:i/>
          <w:iCs/>
          <w:sz w:val="18"/>
          <w:szCs w:val="18"/>
        </w:rPr>
        <w:t>commercial interests (defined as: any entity producing, marketing, re-selling, or distributing health care goods or services consumed by, or used on, patients)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>.  The information disclosed for this activity is listed below.</w:t>
      </w:r>
    </w:p>
    <w:p w:rsidR="00F612B8" w:rsidRPr="00754C70" w:rsidRDefault="00F612B8" w:rsidP="00754C7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alibri" w:hAnsi="Calibri" w:cs="Tahoma"/>
          <w:i/>
          <w:iCs/>
          <w:sz w:val="18"/>
          <w:szCs w:val="18"/>
        </w:rPr>
      </w:pPr>
    </w:p>
    <w:p w:rsidR="00F612B8" w:rsidRPr="00754C70" w:rsidRDefault="00F46C5C" w:rsidP="00754C7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alibri" w:hAnsi="Calibri" w:cs="Tahoma"/>
          <w:i/>
          <w:iCs/>
          <w:sz w:val="18"/>
          <w:szCs w:val="18"/>
        </w:rPr>
      </w:pPr>
      <w:r w:rsidRPr="00754C70">
        <w:rPr>
          <w:rFonts w:ascii="Calibri" w:hAnsi="Calibri" w:cs="Tahoma"/>
          <w:i/>
          <w:iCs/>
          <w:sz w:val="18"/>
          <w:szCs w:val="18"/>
        </w:rPr>
        <w:t xml:space="preserve"> 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>In addition, the planners and instructors listed have agreed that all recommendations involving clinical medicine</w:t>
      </w:r>
      <w:r w:rsidRPr="00754C70">
        <w:rPr>
          <w:rFonts w:ascii="Calibri" w:hAnsi="Calibri" w:cs="Tahoma"/>
          <w:i/>
          <w:iCs/>
          <w:sz w:val="18"/>
          <w:szCs w:val="18"/>
        </w:rPr>
        <w:t xml:space="preserve"> 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>will be based on evidence that is generally accepted within the profession as adequate justification for their</w:t>
      </w:r>
      <w:r w:rsidRPr="00754C70">
        <w:rPr>
          <w:rFonts w:ascii="Calibri" w:hAnsi="Calibri" w:cs="Tahoma"/>
          <w:i/>
          <w:iCs/>
          <w:sz w:val="18"/>
          <w:szCs w:val="18"/>
        </w:rPr>
        <w:t xml:space="preserve"> i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>ndications and contraindications in the care of patients; that all scientific research used in support or justification</w:t>
      </w:r>
      <w:r w:rsidRPr="00754C70">
        <w:rPr>
          <w:rFonts w:ascii="Calibri" w:hAnsi="Calibri" w:cs="Tahoma"/>
          <w:i/>
          <w:iCs/>
          <w:sz w:val="18"/>
          <w:szCs w:val="18"/>
        </w:rPr>
        <w:t xml:space="preserve"> 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 xml:space="preserve">of a patient care recommendation will conform to the generally accepted standards of experimental design, data </w:t>
      </w:r>
      <w:r w:rsidRPr="00754C70">
        <w:rPr>
          <w:rFonts w:ascii="Calibri" w:hAnsi="Calibri" w:cs="Tahoma"/>
          <w:i/>
          <w:iCs/>
          <w:sz w:val="18"/>
          <w:szCs w:val="18"/>
        </w:rPr>
        <w:t xml:space="preserve"> </w:t>
      </w:r>
      <w:r w:rsidR="00F612B8" w:rsidRPr="00754C70">
        <w:rPr>
          <w:rFonts w:ascii="Calibri" w:hAnsi="Calibri" w:cs="Tahoma"/>
          <w:i/>
          <w:iCs/>
          <w:sz w:val="18"/>
          <w:szCs w:val="18"/>
        </w:rPr>
        <w:t>collection and analysis; and that material to be presented will be made available for advance peer review if requested.</w:t>
      </w:r>
    </w:p>
    <w:p w:rsidR="00F46C5C" w:rsidRPr="00754C70" w:rsidRDefault="00F46C5C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alibri" w:hAnsi="Calibri" w:cs="Tahoma"/>
          <w:i/>
          <w:iCs/>
          <w:sz w:val="20"/>
          <w:szCs w:val="20"/>
        </w:rPr>
      </w:pPr>
    </w:p>
    <w:p w:rsidR="00F612B8" w:rsidRPr="00754C70" w:rsidRDefault="00F612B8">
      <w:pPr>
        <w:rPr>
          <w:rFonts w:ascii="Calibri" w:hAnsi="Calibri" w:cs="Tahoma"/>
          <w:i/>
          <w:iCs/>
          <w:sz w:val="20"/>
          <w:szCs w:val="20"/>
        </w:rPr>
      </w:pPr>
    </w:p>
    <w:p w:rsidR="001025B6" w:rsidRPr="00754C70" w:rsidRDefault="001025B6" w:rsidP="001025B6">
      <w:pPr>
        <w:jc w:val="center"/>
        <w:rPr>
          <w:rFonts w:ascii="Calibri" w:hAnsi="Calibri" w:cs="Tahoma"/>
          <w:b/>
          <w:iCs/>
          <w:sz w:val="20"/>
          <w:szCs w:val="20"/>
          <w:u w:val="single"/>
        </w:rPr>
      </w:pPr>
      <w:r w:rsidRPr="00754C70">
        <w:rPr>
          <w:rFonts w:ascii="Calibri" w:hAnsi="Calibri" w:cs="Tahoma"/>
          <w:b/>
          <w:iCs/>
          <w:sz w:val="20"/>
          <w:szCs w:val="20"/>
          <w:u w:val="single"/>
        </w:rPr>
        <w:t>INSTRUCTORS/MODERATORS</w:t>
      </w:r>
    </w:p>
    <w:p w:rsidR="001025B6" w:rsidRDefault="001025B6">
      <w:pPr>
        <w:rPr>
          <w:rFonts w:ascii="Tahoma" w:hAnsi="Tahoma" w:cs="Tahoma"/>
          <w:i/>
          <w:iCs/>
          <w:sz w:val="20"/>
          <w:szCs w:val="20"/>
        </w:rPr>
      </w:pPr>
    </w:p>
    <w:tbl>
      <w:tblPr>
        <w:tblW w:w="9444" w:type="dxa"/>
        <w:tblLook w:val="04A0" w:firstRow="1" w:lastRow="0" w:firstColumn="1" w:lastColumn="0" w:noHBand="0" w:noVBand="1"/>
      </w:tblPr>
      <w:tblGrid>
        <w:gridCol w:w="2707"/>
        <w:gridCol w:w="103"/>
        <w:gridCol w:w="1212"/>
        <w:gridCol w:w="1217"/>
        <w:gridCol w:w="4205"/>
      </w:tblGrid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Albert </w:t>
            </w:r>
            <w:proofErr w:type="spellStart"/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>DiPiero</w:t>
            </w:r>
            <w:proofErr w:type="spellEnd"/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>Andrea Cedfeldt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707" w:type="dxa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Chuck Kilo, MD </w:t>
            </w:r>
          </w:p>
        </w:tc>
        <w:tc>
          <w:tcPr>
            <w:tcW w:w="1315" w:type="dxa"/>
            <w:gridSpan w:val="2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Dan Handel,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5C2F48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Is on a speakers bureau for Merck for which he received honoraria 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Don Girard,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Elizabeth Bower,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Jim Huntzicker,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Joe Hardman,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Joe Robertson,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Niki Steckler,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Patrice </w:t>
            </w:r>
            <w:proofErr w:type="spellStart"/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>Eiff</w:t>
            </w:r>
            <w:proofErr w:type="spellEnd"/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Patty Carney,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Stacie Carney,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654C16" w:rsidRPr="00067F9E" w:rsidTr="00067F9E">
        <w:trPr>
          <w:trHeight w:val="301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Tim Smith, MD 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5C2F48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 xml:space="preserve">Is a consultant for Intersect and </w:t>
            </w:r>
            <w:proofErr w:type="spellStart"/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Entrigue</w:t>
            </w:r>
            <w:proofErr w:type="spellEnd"/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5C2F48">
              <w:rPr>
                <w:rFonts w:ascii="Cambria" w:hAnsi="Cambria"/>
                <w:color w:val="000000"/>
                <w:sz w:val="22"/>
                <w:szCs w:val="22"/>
              </w:rPr>
              <w:t>and receives consulting fees</w:t>
            </w:r>
          </w:p>
        </w:tc>
      </w:tr>
      <w:tr w:rsidR="00654C16" w:rsidRPr="00067F9E" w:rsidTr="00067F9E">
        <w:trPr>
          <w:trHeight w:val="80"/>
        </w:trPr>
        <w:tc>
          <w:tcPr>
            <w:tcW w:w="2810" w:type="dxa"/>
            <w:gridSpan w:val="2"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>Troy Schmit</w:t>
            </w:r>
          </w:p>
        </w:tc>
        <w:tc>
          <w:tcPr>
            <w:tcW w:w="1211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05" w:type="dxa"/>
            <w:noWrap/>
            <w:hideMark/>
          </w:tcPr>
          <w:p w:rsidR="00654C16" w:rsidRPr="00067F9E" w:rsidRDefault="00654C16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</w:tbl>
    <w:p w:rsidR="00935DAE" w:rsidRDefault="00935DAE" w:rsidP="00935DAE">
      <w:pPr>
        <w:rPr>
          <w:rFonts w:ascii="Tahoma" w:hAnsi="Tahoma" w:cs="Tahoma"/>
          <w:sz w:val="20"/>
          <w:szCs w:val="20"/>
        </w:rPr>
      </w:pPr>
    </w:p>
    <w:p w:rsidR="00F612B8" w:rsidRDefault="00F612B8">
      <w:pPr>
        <w:rPr>
          <w:rFonts w:ascii="Tahoma" w:hAnsi="Tahoma" w:cs="Tahoma"/>
          <w:sz w:val="20"/>
          <w:szCs w:val="20"/>
        </w:rPr>
      </w:pPr>
    </w:p>
    <w:p w:rsidR="00F612B8" w:rsidRDefault="00F612B8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PROGRAM PLANNING COMMITTEE</w:t>
      </w:r>
    </w:p>
    <w:p w:rsidR="00754C70" w:rsidRDefault="00754C7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4C70" w:rsidRDefault="00754C70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4C70" w:rsidRPr="00754C70" w:rsidRDefault="00754C70">
      <w:pPr>
        <w:jc w:val="center"/>
        <w:rPr>
          <w:rFonts w:ascii="Cambria" w:hAnsi="Cambria" w:cs="Tahoma"/>
          <w:b/>
          <w:bCs/>
          <w:sz w:val="20"/>
          <w:szCs w:val="20"/>
          <w:u w:val="single"/>
        </w:rPr>
      </w:pPr>
    </w:p>
    <w:tbl>
      <w:tblPr>
        <w:tblW w:w="9474" w:type="dxa"/>
        <w:tblLook w:val="04A0" w:firstRow="1" w:lastRow="0" w:firstColumn="1" w:lastColumn="0" w:noHBand="0" w:noVBand="1"/>
      </w:tblPr>
      <w:tblGrid>
        <w:gridCol w:w="2819"/>
        <w:gridCol w:w="1215"/>
        <w:gridCol w:w="1221"/>
        <w:gridCol w:w="4219"/>
      </w:tblGrid>
      <w:tr w:rsidR="00754C70" w:rsidRPr="00067F9E" w:rsidTr="00067F9E">
        <w:trPr>
          <w:trHeight w:val="301"/>
        </w:trPr>
        <w:tc>
          <w:tcPr>
            <w:tcW w:w="2819" w:type="dxa"/>
            <w:hideMark/>
          </w:tcPr>
          <w:p w:rsidR="00754C70" w:rsidRPr="00067F9E" w:rsidRDefault="00F87291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Kara Connelly</w:t>
            </w:r>
            <w:r w:rsidR="00754C70" w:rsidRPr="00067F9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, MD </w:t>
            </w:r>
          </w:p>
        </w:tc>
        <w:tc>
          <w:tcPr>
            <w:tcW w:w="1215" w:type="dxa"/>
            <w:noWrap/>
            <w:hideMark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noWrap/>
            <w:hideMark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19" w:type="dxa"/>
            <w:noWrap/>
            <w:hideMark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067F9E">
              <w:rPr>
                <w:rFonts w:ascii="Cambria" w:hAnsi="Cambria"/>
                <w:color w:val="000000"/>
                <w:sz w:val="22"/>
                <w:szCs w:val="22"/>
              </w:rPr>
              <w:t>Nothing to disclose</w:t>
            </w:r>
          </w:p>
        </w:tc>
      </w:tr>
      <w:tr w:rsidR="00754C70" w:rsidRPr="00067F9E" w:rsidTr="00F87291">
        <w:trPr>
          <w:trHeight w:val="329"/>
        </w:trPr>
        <w:tc>
          <w:tcPr>
            <w:tcW w:w="2819" w:type="dxa"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19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754C70" w:rsidRPr="00067F9E" w:rsidTr="00F87291">
        <w:trPr>
          <w:trHeight w:val="80"/>
        </w:trPr>
        <w:tc>
          <w:tcPr>
            <w:tcW w:w="2819" w:type="dxa"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19" w:type="dxa"/>
            <w:noWrap/>
          </w:tcPr>
          <w:p w:rsidR="00754C70" w:rsidRPr="00067F9E" w:rsidRDefault="00754C70" w:rsidP="00067F9E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935DAE" w:rsidRDefault="00935DAE" w:rsidP="00935DAE">
      <w:pPr>
        <w:rPr>
          <w:rFonts w:ascii="Tahoma" w:hAnsi="Tahoma" w:cs="Tahoma"/>
          <w:sz w:val="20"/>
          <w:szCs w:val="20"/>
        </w:rPr>
      </w:pPr>
    </w:p>
    <w:p w:rsidR="00212FF6" w:rsidRDefault="00212FF6" w:rsidP="00935DAE">
      <w:pPr>
        <w:rPr>
          <w:rFonts w:ascii="Tahoma" w:hAnsi="Tahoma" w:cs="Tahoma"/>
          <w:sz w:val="20"/>
          <w:szCs w:val="20"/>
        </w:rPr>
      </w:pPr>
    </w:p>
    <w:sectPr w:rsidR="00212FF6" w:rsidSect="00F612B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B8"/>
    <w:rsid w:val="00007129"/>
    <w:rsid w:val="00067F9E"/>
    <w:rsid w:val="001025B6"/>
    <w:rsid w:val="00196141"/>
    <w:rsid w:val="00212FF6"/>
    <w:rsid w:val="00225A40"/>
    <w:rsid w:val="0044491E"/>
    <w:rsid w:val="00463BD9"/>
    <w:rsid w:val="005C2F48"/>
    <w:rsid w:val="00654C16"/>
    <w:rsid w:val="0071461C"/>
    <w:rsid w:val="00754C70"/>
    <w:rsid w:val="00776B0B"/>
    <w:rsid w:val="00846395"/>
    <w:rsid w:val="00935DAE"/>
    <w:rsid w:val="00946747"/>
    <w:rsid w:val="00AE7DB6"/>
    <w:rsid w:val="00F46C5C"/>
    <w:rsid w:val="00F612B8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5FC3F-3A6D-428F-9435-04BB7BE5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table" w:styleId="TableGrid">
    <w:name w:val="Table Grid"/>
    <w:basedOn w:val="TableNormal"/>
    <w:rsid w:val="0065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1709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doeringl</dc:creator>
  <cp:keywords/>
  <dc:description/>
  <cp:lastModifiedBy>Jessica Berglund</cp:lastModifiedBy>
  <cp:revision>2</cp:revision>
  <cp:lastPrinted>2008-10-07T16:59:00Z</cp:lastPrinted>
  <dcterms:created xsi:type="dcterms:W3CDTF">2019-01-07T20:27:00Z</dcterms:created>
  <dcterms:modified xsi:type="dcterms:W3CDTF">2019-01-07T20:27:00Z</dcterms:modified>
</cp:coreProperties>
</file>